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F2D4F" w14:textId="6D5F3859" w:rsidR="002D4C95" w:rsidRPr="000B7267" w:rsidRDefault="00377EF4" w:rsidP="000B7267">
      <w:pPr>
        <w:jc w:val="center"/>
        <w:rPr>
          <w:rFonts w:eastAsia="Times New Roman" w:cstheme="minorHAnsi"/>
          <w:i/>
          <w:sz w:val="26"/>
          <w:szCs w:val="26"/>
        </w:rPr>
      </w:pPr>
      <w:r w:rsidRPr="000B7267">
        <w:rPr>
          <w:rFonts w:eastAsia="Times New Roman" w:cstheme="minorHAnsi"/>
          <w:i/>
          <w:noProof/>
          <w:sz w:val="26"/>
          <w:szCs w:val="26"/>
          <w:lang w:eastAsia="pl-PL"/>
        </w:rPr>
        <w:drawing>
          <wp:inline distT="0" distB="0" distL="0" distR="0" wp14:anchorId="7901B2BA" wp14:editId="2B1668B6">
            <wp:extent cx="8645525" cy="781050"/>
            <wp:effectExtent l="0" t="0" r="3175" b="0"/>
            <wp:docPr id="1" name="Obraz 1" descr="Logotypy Fundusze Europejskie dla Rozwoju Społecznego, Rzeczypospolita Polska, Dofinansowane przez Unię Eu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Fundusze Europejskie dla Rozwoju Społecznego, Rzeczypospolita Polska, Dofinansowane przez Unię Europejską, PARP Grupa PFR"/>
                    <pic:cNvPicPr/>
                  </pic:nvPicPr>
                  <pic:blipFill>
                    <a:blip r:embed="rId8">
                      <a:extLst>
                        <a:ext uri="{28A0092B-C50C-407E-A947-70E740481C1C}">
                          <a14:useLocalDpi xmlns:a14="http://schemas.microsoft.com/office/drawing/2010/main" val="0"/>
                        </a:ext>
                      </a:extLst>
                    </a:blip>
                    <a:stretch>
                      <a:fillRect/>
                    </a:stretch>
                  </pic:blipFill>
                  <pic:spPr>
                    <a:xfrm>
                      <a:off x="0" y="0"/>
                      <a:ext cx="8645525" cy="781050"/>
                    </a:xfrm>
                    <a:prstGeom prst="rect">
                      <a:avLst/>
                    </a:prstGeom>
                  </pic:spPr>
                </pic:pic>
              </a:graphicData>
            </a:graphic>
          </wp:inline>
        </w:drawing>
      </w:r>
    </w:p>
    <w:p w14:paraId="2F2C53B9" w14:textId="5A4941EC" w:rsidR="00FD6E59" w:rsidRPr="000B7267" w:rsidRDefault="001732F8" w:rsidP="000B7267">
      <w:pPr>
        <w:pStyle w:val="Akapitzlist"/>
        <w:spacing w:line="276" w:lineRule="auto"/>
        <w:ind w:left="0"/>
        <w:rPr>
          <w:rFonts w:asciiTheme="minorHAnsi" w:hAnsiTheme="minorHAnsi" w:cstheme="minorHAnsi"/>
        </w:rPr>
      </w:pPr>
      <w:r w:rsidRPr="000B7267">
        <w:rPr>
          <w:rFonts w:asciiTheme="minorHAnsi" w:hAnsiTheme="minorHAnsi" w:cstheme="minorHAnsi"/>
        </w:rPr>
        <w:t xml:space="preserve">Załącznik </w:t>
      </w:r>
      <w:r w:rsidR="00DA12DF" w:rsidRPr="000B7267">
        <w:rPr>
          <w:rFonts w:asciiTheme="minorHAnsi" w:hAnsiTheme="minorHAnsi" w:cstheme="minorHAnsi"/>
        </w:rPr>
        <w:t xml:space="preserve">nr </w:t>
      </w:r>
      <w:r w:rsidRPr="000B7267">
        <w:rPr>
          <w:rFonts w:asciiTheme="minorHAnsi" w:hAnsiTheme="minorHAnsi" w:cstheme="minorHAnsi"/>
        </w:rPr>
        <w:t xml:space="preserve">8 do </w:t>
      </w:r>
      <w:r w:rsidR="006F482C" w:rsidRPr="000B7267">
        <w:rPr>
          <w:rFonts w:asciiTheme="minorHAnsi" w:hAnsiTheme="minorHAnsi" w:cstheme="minorHAnsi"/>
        </w:rPr>
        <w:t>Regulaminu wyboru projektów</w:t>
      </w:r>
    </w:p>
    <w:p w14:paraId="05CF2439" w14:textId="5DB71083" w:rsidR="006B56F6" w:rsidRPr="000B7267" w:rsidRDefault="000033F0" w:rsidP="000B7267">
      <w:pPr>
        <w:pStyle w:val="Nagwek1"/>
        <w:spacing w:before="360" w:after="360"/>
        <w:rPr>
          <w:rFonts w:asciiTheme="minorHAnsi" w:hAnsiTheme="minorHAnsi" w:cstheme="minorHAnsi"/>
          <w:b/>
          <w:color w:val="auto"/>
          <w:sz w:val="28"/>
          <w:szCs w:val="28"/>
        </w:rPr>
      </w:pPr>
      <w:r w:rsidRPr="000B7267">
        <w:rPr>
          <w:rFonts w:asciiTheme="minorHAnsi" w:eastAsia="Times New Roman" w:hAnsiTheme="minorHAnsi" w:cstheme="minorHAnsi"/>
          <w:b/>
          <w:iCs/>
          <w:color w:val="auto"/>
        </w:rPr>
        <w:t>Kryteria zatwierdzone przez Komitet Monito</w:t>
      </w:r>
      <w:bookmarkStart w:id="0" w:name="_GoBack"/>
      <w:bookmarkEnd w:id="0"/>
      <w:r w:rsidRPr="000B7267">
        <w:rPr>
          <w:rFonts w:asciiTheme="minorHAnsi" w:eastAsia="Times New Roman" w:hAnsiTheme="minorHAnsi" w:cstheme="minorHAnsi"/>
          <w:b/>
          <w:iCs/>
          <w:color w:val="auto"/>
        </w:rPr>
        <w:t xml:space="preserve">rujący </w:t>
      </w:r>
      <w:r w:rsidR="001C33AF" w:rsidRPr="000B7267">
        <w:rPr>
          <w:rFonts w:asciiTheme="minorHAnsi" w:eastAsia="Times New Roman" w:hAnsiTheme="minorHAnsi" w:cstheme="minorHAnsi"/>
          <w:b/>
          <w:iCs/>
          <w:color w:val="auto"/>
        </w:rPr>
        <w:t>FERS</w:t>
      </w:r>
    </w:p>
    <w:p w14:paraId="1CA7AA0F" w14:textId="4085F6B8" w:rsidR="002F7BEC" w:rsidRPr="000B7267" w:rsidRDefault="00A849A3" w:rsidP="000B7267">
      <w:pPr>
        <w:pStyle w:val="Nagwek2"/>
        <w:numPr>
          <w:ilvl w:val="0"/>
          <w:numId w:val="20"/>
        </w:numPr>
        <w:rPr>
          <w:rFonts w:asciiTheme="minorHAnsi" w:hAnsiTheme="minorHAnsi" w:cstheme="minorHAnsi"/>
          <w:b/>
          <w:color w:val="auto"/>
          <w:sz w:val="28"/>
          <w:szCs w:val="28"/>
        </w:rPr>
      </w:pPr>
      <w:r w:rsidRPr="000B7267">
        <w:rPr>
          <w:rFonts w:asciiTheme="minorHAnsi" w:hAnsiTheme="minorHAnsi" w:cstheme="minorHAnsi"/>
          <w:b/>
          <w:color w:val="auto"/>
          <w:sz w:val="28"/>
          <w:szCs w:val="28"/>
        </w:rPr>
        <w:t xml:space="preserve">Kryteria dostępu </w:t>
      </w:r>
    </w:p>
    <w:p w14:paraId="56D155AD" w14:textId="77777777" w:rsidR="002D4C95" w:rsidRPr="000B7267" w:rsidRDefault="002D4C95" w:rsidP="000B7267">
      <w:pPr>
        <w:pStyle w:val="Akapitzlist"/>
        <w:spacing w:line="276" w:lineRule="auto"/>
        <w:rPr>
          <w:rFonts w:asciiTheme="minorHAnsi" w:hAnsiTheme="minorHAnsi" w:cstheme="minorHAnsi"/>
          <w:b/>
          <w:color w:val="000000" w:themeColor="text1"/>
        </w:rPr>
      </w:pPr>
    </w:p>
    <w:tbl>
      <w:tblPr>
        <w:tblStyle w:val="Tabela-Siatka"/>
        <w:tblW w:w="14743" w:type="dxa"/>
        <w:tblInd w:w="-431" w:type="dxa"/>
        <w:tblLayout w:type="fixed"/>
        <w:tblLook w:val="04A0" w:firstRow="1" w:lastRow="0" w:firstColumn="1" w:lastColumn="0" w:noHBand="0" w:noVBand="1"/>
      </w:tblPr>
      <w:tblGrid>
        <w:gridCol w:w="568"/>
        <w:gridCol w:w="5103"/>
        <w:gridCol w:w="7088"/>
        <w:gridCol w:w="1984"/>
      </w:tblGrid>
      <w:tr w:rsidR="0022566C" w:rsidRPr="000B7267" w14:paraId="01C6A219" w14:textId="77777777" w:rsidTr="00FD6E59">
        <w:trPr>
          <w:tblHeader/>
        </w:trPr>
        <w:tc>
          <w:tcPr>
            <w:tcW w:w="568" w:type="dxa"/>
            <w:shd w:val="clear" w:color="auto" w:fill="C6D9F1" w:themeFill="text2" w:themeFillTint="33"/>
            <w:vAlign w:val="center"/>
          </w:tcPr>
          <w:p w14:paraId="298D10E6" w14:textId="37ACE626" w:rsidR="0022566C" w:rsidRPr="000B7267" w:rsidRDefault="0022566C" w:rsidP="000B7267">
            <w:pPr>
              <w:pStyle w:val="Akapitzlist"/>
              <w:spacing w:line="276" w:lineRule="auto"/>
              <w:ind w:left="0"/>
              <w:rPr>
                <w:rFonts w:asciiTheme="minorHAnsi" w:hAnsiTheme="minorHAnsi" w:cstheme="minorHAnsi"/>
                <w:b/>
                <w:sz w:val="22"/>
                <w:szCs w:val="22"/>
              </w:rPr>
            </w:pPr>
            <w:r w:rsidRPr="000B7267">
              <w:rPr>
                <w:rFonts w:asciiTheme="minorHAnsi" w:hAnsiTheme="minorHAnsi" w:cstheme="minorHAnsi"/>
                <w:b/>
                <w:sz w:val="22"/>
                <w:szCs w:val="22"/>
              </w:rPr>
              <w:t>Lp.</w:t>
            </w:r>
          </w:p>
        </w:tc>
        <w:tc>
          <w:tcPr>
            <w:tcW w:w="5103" w:type="dxa"/>
            <w:shd w:val="clear" w:color="auto" w:fill="C6D9F1" w:themeFill="text2" w:themeFillTint="33"/>
            <w:vAlign w:val="center"/>
          </w:tcPr>
          <w:p w14:paraId="23CE128F" w14:textId="7F062122" w:rsidR="0022566C" w:rsidRPr="000B7267" w:rsidRDefault="0022566C" w:rsidP="000B7267">
            <w:pPr>
              <w:pStyle w:val="Akapitzlist"/>
              <w:spacing w:line="276" w:lineRule="auto"/>
              <w:ind w:left="0"/>
              <w:rPr>
                <w:rFonts w:asciiTheme="minorHAnsi" w:hAnsiTheme="minorHAnsi" w:cstheme="minorHAnsi"/>
                <w:b/>
                <w:i/>
                <w:sz w:val="22"/>
                <w:szCs w:val="22"/>
              </w:rPr>
            </w:pPr>
            <w:r w:rsidRPr="000B7267">
              <w:rPr>
                <w:rFonts w:asciiTheme="minorHAnsi" w:hAnsiTheme="minorHAnsi" w:cstheme="minorHAnsi"/>
                <w:b/>
                <w:i/>
                <w:sz w:val="22"/>
                <w:szCs w:val="22"/>
              </w:rPr>
              <w:t>Kryterium</w:t>
            </w:r>
          </w:p>
        </w:tc>
        <w:tc>
          <w:tcPr>
            <w:tcW w:w="7088" w:type="dxa"/>
            <w:shd w:val="clear" w:color="auto" w:fill="C6D9F1" w:themeFill="text2" w:themeFillTint="33"/>
            <w:vAlign w:val="center"/>
          </w:tcPr>
          <w:p w14:paraId="71407F42" w14:textId="7B493426" w:rsidR="006659C2" w:rsidRPr="000B7267" w:rsidRDefault="006659C2" w:rsidP="000B7267">
            <w:pPr>
              <w:pStyle w:val="Akapitzlist"/>
              <w:spacing w:line="276" w:lineRule="auto"/>
              <w:ind w:left="0"/>
              <w:rPr>
                <w:rFonts w:asciiTheme="minorHAnsi" w:hAnsiTheme="minorHAnsi" w:cstheme="minorHAnsi"/>
                <w:b/>
                <w:i/>
                <w:sz w:val="22"/>
                <w:szCs w:val="22"/>
              </w:rPr>
            </w:pPr>
            <w:r w:rsidRPr="000B7267">
              <w:rPr>
                <w:rFonts w:asciiTheme="minorHAnsi" w:hAnsiTheme="minorHAnsi" w:cstheme="minorHAnsi"/>
                <w:b/>
                <w:i/>
                <w:sz w:val="22"/>
                <w:szCs w:val="22"/>
              </w:rPr>
              <w:t xml:space="preserve">- </w:t>
            </w:r>
            <w:r w:rsidR="009D3B4D" w:rsidRPr="000B7267">
              <w:rPr>
                <w:rFonts w:asciiTheme="minorHAnsi" w:hAnsiTheme="minorHAnsi" w:cstheme="minorHAnsi"/>
                <w:b/>
                <w:i/>
                <w:sz w:val="22"/>
                <w:szCs w:val="22"/>
              </w:rPr>
              <w:t>U</w:t>
            </w:r>
            <w:r w:rsidR="0022566C" w:rsidRPr="000B7267">
              <w:rPr>
                <w:rFonts w:asciiTheme="minorHAnsi" w:hAnsiTheme="minorHAnsi" w:cstheme="minorHAnsi"/>
                <w:b/>
                <w:i/>
                <w:sz w:val="22"/>
                <w:szCs w:val="22"/>
              </w:rPr>
              <w:t>zasadnienie</w:t>
            </w:r>
            <w:r w:rsidRPr="000B7267">
              <w:rPr>
                <w:rFonts w:asciiTheme="minorHAnsi" w:hAnsiTheme="minorHAnsi" w:cstheme="minorHAnsi"/>
                <w:b/>
                <w:i/>
                <w:sz w:val="22"/>
                <w:szCs w:val="22"/>
              </w:rPr>
              <w:t xml:space="preserve"> kryterium;</w:t>
            </w:r>
          </w:p>
          <w:p w14:paraId="2113B35C" w14:textId="5AA8E1E7" w:rsidR="006659C2" w:rsidRPr="000B7267" w:rsidRDefault="006659C2" w:rsidP="000B7267">
            <w:pPr>
              <w:pStyle w:val="Akapitzlist"/>
              <w:spacing w:line="276" w:lineRule="auto"/>
              <w:ind w:left="0"/>
              <w:rPr>
                <w:rFonts w:asciiTheme="minorHAnsi" w:hAnsiTheme="minorHAnsi" w:cstheme="minorHAnsi"/>
                <w:b/>
                <w:i/>
                <w:sz w:val="22"/>
                <w:szCs w:val="22"/>
              </w:rPr>
            </w:pPr>
            <w:r w:rsidRPr="000B7267">
              <w:rPr>
                <w:rFonts w:asciiTheme="minorHAnsi" w:hAnsiTheme="minorHAnsi" w:cstheme="minorHAnsi"/>
                <w:b/>
                <w:i/>
                <w:sz w:val="22"/>
                <w:szCs w:val="22"/>
              </w:rPr>
              <w:t xml:space="preserve">- </w:t>
            </w:r>
            <w:r w:rsidR="009D3B4D" w:rsidRPr="000B7267">
              <w:rPr>
                <w:rFonts w:asciiTheme="minorHAnsi" w:hAnsiTheme="minorHAnsi" w:cstheme="minorHAnsi"/>
                <w:b/>
                <w:i/>
                <w:sz w:val="22"/>
                <w:szCs w:val="22"/>
              </w:rPr>
              <w:t>S</w:t>
            </w:r>
            <w:r w:rsidR="0022566C" w:rsidRPr="000B7267">
              <w:rPr>
                <w:rFonts w:asciiTheme="minorHAnsi" w:hAnsiTheme="minorHAnsi" w:cstheme="minorHAnsi"/>
                <w:b/>
                <w:i/>
                <w:sz w:val="22"/>
                <w:szCs w:val="22"/>
              </w:rPr>
              <w:t xml:space="preserve">posób oceny </w:t>
            </w:r>
            <w:r w:rsidRPr="000B7267">
              <w:rPr>
                <w:rFonts w:asciiTheme="minorHAnsi" w:hAnsiTheme="minorHAnsi" w:cstheme="minorHAnsi"/>
                <w:b/>
                <w:i/>
                <w:sz w:val="22"/>
                <w:szCs w:val="22"/>
              </w:rPr>
              <w:t>kryterium;</w:t>
            </w:r>
          </w:p>
          <w:p w14:paraId="33AACAF9" w14:textId="02E2D8B7" w:rsidR="0022566C" w:rsidRPr="000B7267" w:rsidRDefault="006659C2" w:rsidP="000B7267">
            <w:pPr>
              <w:pStyle w:val="Akapitzlist"/>
              <w:spacing w:line="276" w:lineRule="auto"/>
              <w:ind w:left="0"/>
              <w:rPr>
                <w:rFonts w:asciiTheme="minorHAnsi" w:hAnsiTheme="minorHAnsi" w:cstheme="minorHAnsi"/>
                <w:b/>
                <w:i/>
                <w:sz w:val="22"/>
                <w:szCs w:val="22"/>
              </w:rPr>
            </w:pPr>
            <w:r w:rsidRPr="000B7267">
              <w:rPr>
                <w:rFonts w:asciiTheme="minorHAnsi" w:hAnsiTheme="minorHAnsi" w:cstheme="minorHAnsi"/>
                <w:b/>
                <w:i/>
                <w:sz w:val="22"/>
                <w:szCs w:val="22"/>
              </w:rPr>
              <w:t xml:space="preserve">- </w:t>
            </w:r>
            <w:r w:rsidR="009D3B4D" w:rsidRPr="000B7267">
              <w:rPr>
                <w:rFonts w:asciiTheme="minorHAnsi" w:hAnsiTheme="minorHAnsi" w:cstheme="minorHAnsi"/>
                <w:b/>
                <w:i/>
                <w:sz w:val="22"/>
                <w:szCs w:val="22"/>
              </w:rPr>
              <w:t>S</w:t>
            </w:r>
            <w:r w:rsidRPr="000B7267">
              <w:rPr>
                <w:rFonts w:asciiTheme="minorHAnsi" w:hAnsiTheme="minorHAnsi" w:cstheme="minorHAnsi"/>
                <w:b/>
                <w:i/>
                <w:sz w:val="22"/>
                <w:szCs w:val="22"/>
              </w:rPr>
              <w:t>zczegółowe zapisy dot. uzupełniania/poprawiania kryteriów dostępu.</w:t>
            </w:r>
          </w:p>
        </w:tc>
        <w:tc>
          <w:tcPr>
            <w:tcW w:w="1984" w:type="dxa"/>
            <w:shd w:val="clear" w:color="auto" w:fill="C6D9F1" w:themeFill="text2" w:themeFillTint="33"/>
            <w:vAlign w:val="center"/>
          </w:tcPr>
          <w:p w14:paraId="6A8703AC" w14:textId="77777777" w:rsidR="00CE6C85" w:rsidRPr="000B7267" w:rsidRDefault="0022566C" w:rsidP="000B7267">
            <w:pPr>
              <w:pStyle w:val="Akapitzlist"/>
              <w:spacing w:line="276" w:lineRule="auto"/>
              <w:ind w:left="0"/>
              <w:rPr>
                <w:rFonts w:asciiTheme="minorHAnsi" w:hAnsiTheme="minorHAnsi" w:cstheme="minorHAnsi"/>
                <w:b/>
                <w:i/>
                <w:sz w:val="22"/>
                <w:szCs w:val="22"/>
              </w:rPr>
            </w:pPr>
            <w:r w:rsidRPr="000B7267">
              <w:rPr>
                <w:rFonts w:asciiTheme="minorHAnsi" w:hAnsiTheme="minorHAnsi" w:cstheme="minorHAnsi"/>
                <w:b/>
                <w:i/>
                <w:sz w:val="22"/>
                <w:szCs w:val="22"/>
              </w:rPr>
              <w:t xml:space="preserve">Możliwość </w:t>
            </w:r>
            <w:r w:rsidR="00CE6C85" w:rsidRPr="000B7267">
              <w:rPr>
                <w:rFonts w:asciiTheme="minorHAnsi" w:hAnsiTheme="minorHAnsi" w:cstheme="minorHAnsi"/>
                <w:b/>
                <w:i/>
                <w:sz w:val="22"/>
                <w:szCs w:val="22"/>
              </w:rPr>
              <w:t>jednorazowego uzupełnienia/</w:t>
            </w:r>
          </w:p>
          <w:p w14:paraId="4883C26D" w14:textId="5F2F0517" w:rsidR="0022566C" w:rsidRPr="000B7267" w:rsidRDefault="0022566C" w:rsidP="000B7267">
            <w:pPr>
              <w:pStyle w:val="Akapitzlist"/>
              <w:spacing w:line="276" w:lineRule="auto"/>
              <w:ind w:left="0"/>
              <w:rPr>
                <w:rFonts w:asciiTheme="minorHAnsi" w:hAnsiTheme="minorHAnsi" w:cstheme="minorHAnsi"/>
                <w:b/>
                <w:i/>
                <w:sz w:val="22"/>
                <w:szCs w:val="22"/>
              </w:rPr>
            </w:pPr>
            <w:r w:rsidRPr="000B7267">
              <w:rPr>
                <w:rFonts w:asciiTheme="minorHAnsi" w:hAnsiTheme="minorHAnsi" w:cstheme="minorHAnsi"/>
                <w:b/>
                <w:i/>
                <w:sz w:val="22"/>
                <w:szCs w:val="22"/>
              </w:rPr>
              <w:t>poprawienia wniosku</w:t>
            </w:r>
            <w:r w:rsidR="00CE6C85" w:rsidRPr="000B7267">
              <w:rPr>
                <w:rFonts w:asciiTheme="minorHAnsi" w:hAnsiTheme="minorHAnsi" w:cstheme="minorHAnsi"/>
                <w:b/>
                <w:i/>
                <w:sz w:val="22"/>
                <w:szCs w:val="22"/>
              </w:rPr>
              <w:t xml:space="preserve"> w trakcie oceny</w:t>
            </w:r>
            <w:r w:rsidR="0046149F" w:rsidRPr="000B7267">
              <w:rPr>
                <w:rFonts w:asciiTheme="minorHAnsi" w:hAnsiTheme="minorHAnsi" w:cstheme="minorHAnsi"/>
                <w:b/>
                <w:i/>
                <w:sz w:val="22"/>
                <w:szCs w:val="22"/>
              </w:rPr>
              <w:t xml:space="preserve"> </w:t>
            </w:r>
            <w:r w:rsidRPr="000B7267">
              <w:rPr>
                <w:rStyle w:val="Odwoanieprzypisudolnego"/>
                <w:rFonts w:asciiTheme="minorHAnsi" w:hAnsiTheme="minorHAnsi" w:cstheme="minorHAnsi"/>
                <w:b/>
                <w:i/>
                <w:sz w:val="22"/>
                <w:szCs w:val="22"/>
              </w:rPr>
              <w:footnoteReference w:id="1"/>
            </w:r>
          </w:p>
        </w:tc>
      </w:tr>
      <w:tr w:rsidR="0009519C" w:rsidRPr="000B7267" w14:paraId="7FCF4AC1" w14:textId="77777777" w:rsidTr="00CE1A7A">
        <w:tc>
          <w:tcPr>
            <w:tcW w:w="568" w:type="dxa"/>
            <w:vAlign w:val="center"/>
          </w:tcPr>
          <w:p w14:paraId="148E6A78" w14:textId="70AC92AB" w:rsidR="0009519C" w:rsidRPr="000B7267" w:rsidRDefault="0009519C" w:rsidP="000B7267">
            <w:pPr>
              <w:pStyle w:val="Akapitzlist"/>
              <w:spacing w:line="276" w:lineRule="auto"/>
              <w:ind w:left="0"/>
              <w:rPr>
                <w:rFonts w:asciiTheme="minorHAnsi" w:hAnsiTheme="minorHAnsi" w:cstheme="minorHAnsi"/>
              </w:rPr>
            </w:pPr>
            <w:r w:rsidRPr="000B7267">
              <w:rPr>
                <w:rFonts w:asciiTheme="minorHAnsi" w:hAnsiTheme="minorHAnsi" w:cstheme="minorHAnsi"/>
              </w:rPr>
              <w:t>1.</w:t>
            </w:r>
          </w:p>
        </w:tc>
        <w:tc>
          <w:tcPr>
            <w:tcW w:w="5103" w:type="dxa"/>
            <w:vAlign w:val="center"/>
          </w:tcPr>
          <w:p w14:paraId="36974C58" w14:textId="2F19E08A" w:rsidR="0009519C" w:rsidRPr="000B7267" w:rsidRDefault="001C33AF" w:rsidP="000B7267">
            <w:pPr>
              <w:pStyle w:val="Akapitzlist"/>
              <w:spacing w:line="276" w:lineRule="auto"/>
              <w:ind w:left="0"/>
              <w:rPr>
                <w:rFonts w:asciiTheme="minorHAnsi" w:hAnsiTheme="minorHAnsi" w:cstheme="minorHAnsi"/>
              </w:rPr>
            </w:pPr>
            <w:r w:rsidRPr="000B7267">
              <w:rPr>
                <w:rFonts w:asciiTheme="minorHAnsi" w:hAnsiTheme="minorHAnsi" w:cstheme="minorHAnsi"/>
              </w:rPr>
              <w:t>Odbiorcami wsparcia udzielanego przez beneficjenta w ramach projektu mogą być podmioty posiadające wpis do Bazy Usług Rozwojowych uprawniający do publikowania usług z możliwością ich dofinansowania ze środków publicznych.</w:t>
            </w:r>
          </w:p>
        </w:tc>
        <w:tc>
          <w:tcPr>
            <w:tcW w:w="7088" w:type="dxa"/>
            <w:vAlign w:val="center"/>
          </w:tcPr>
          <w:p w14:paraId="025FC2DC" w14:textId="77777777" w:rsidR="00F136AF" w:rsidRPr="000B7267" w:rsidRDefault="00F136AF" w:rsidP="000B7267">
            <w:pPr>
              <w:pStyle w:val="Akapitzlist"/>
              <w:spacing w:line="276" w:lineRule="auto"/>
              <w:ind w:left="0"/>
              <w:rPr>
                <w:rFonts w:asciiTheme="minorHAnsi" w:hAnsiTheme="minorHAnsi" w:cstheme="minorHAnsi"/>
              </w:rPr>
            </w:pPr>
          </w:p>
          <w:p w14:paraId="0137D559" w14:textId="77777777" w:rsidR="001C33AF" w:rsidRPr="000B7267" w:rsidRDefault="001C33AF" w:rsidP="000B7267">
            <w:pPr>
              <w:spacing w:after="200" w:line="276" w:lineRule="auto"/>
              <w:rPr>
                <w:rFonts w:cstheme="minorHAnsi"/>
                <w:sz w:val="24"/>
                <w:szCs w:val="24"/>
              </w:rPr>
            </w:pPr>
            <w:r w:rsidRPr="000B7267">
              <w:rPr>
                <w:rFonts w:cstheme="minorHAnsi"/>
                <w:sz w:val="24"/>
                <w:szCs w:val="24"/>
              </w:rPr>
              <w:t xml:space="preserve">Kryterium ma na celu: </w:t>
            </w:r>
          </w:p>
          <w:p w14:paraId="56007718" w14:textId="77777777" w:rsidR="001C33AF" w:rsidRPr="000B7267" w:rsidRDefault="001C33AF" w:rsidP="000B7267">
            <w:pPr>
              <w:pStyle w:val="Akapitzlist"/>
              <w:numPr>
                <w:ilvl w:val="1"/>
                <w:numId w:val="16"/>
              </w:numPr>
              <w:spacing w:before="60" w:after="60" w:line="276" w:lineRule="auto"/>
              <w:ind w:left="1035"/>
              <w:rPr>
                <w:rFonts w:asciiTheme="minorHAnsi" w:hAnsiTheme="minorHAnsi" w:cstheme="minorHAnsi"/>
              </w:rPr>
            </w:pPr>
            <w:r w:rsidRPr="000B7267">
              <w:rPr>
                <w:rFonts w:asciiTheme="minorHAnsi" w:hAnsiTheme="minorHAnsi" w:cstheme="minorHAnsi"/>
              </w:rPr>
              <w:t>identyfikację grupy docelowej uprawnionej do skorzystania ze wsparcia w ramach projektu;</w:t>
            </w:r>
          </w:p>
          <w:p w14:paraId="6AE5C3A9" w14:textId="77777777" w:rsidR="001C33AF" w:rsidRPr="000B7267" w:rsidRDefault="001C33AF" w:rsidP="000B7267">
            <w:pPr>
              <w:pStyle w:val="Akapitzlist"/>
              <w:numPr>
                <w:ilvl w:val="1"/>
                <w:numId w:val="16"/>
              </w:numPr>
              <w:spacing w:before="60" w:after="60" w:line="276" w:lineRule="auto"/>
              <w:ind w:left="1035"/>
              <w:rPr>
                <w:rFonts w:asciiTheme="minorHAnsi" w:hAnsiTheme="minorHAnsi" w:cstheme="minorHAnsi"/>
              </w:rPr>
            </w:pPr>
            <w:r w:rsidRPr="000B7267">
              <w:rPr>
                <w:rFonts w:asciiTheme="minorHAnsi" w:hAnsiTheme="minorHAnsi" w:cstheme="minorHAnsi"/>
              </w:rPr>
              <w:lastRenderedPageBreak/>
              <w:t>wskazanie sposobu realizacji projektu, w którym beneficjent odpowiedzialny jest za udzielanie wsparcia grupie docelowej (odbiorcom wsparcia).</w:t>
            </w:r>
          </w:p>
          <w:p w14:paraId="32D93743" w14:textId="43FF355D" w:rsidR="001C33AF" w:rsidRPr="000B7267" w:rsidRDefault="001C33AF" w:rsidP="000B7267">
            <w:pPr>
              <w:pStyle w:val="Akapitzlist"/>
              <w:spacing w:before="60" w:after="60" w:line="276" w:lineRule="auto"/>
              <w:ind w:left="0"/>
              <w:rPr>
                <w:rFonts w:asciiTheme="minorHAnsi" w:hAnsiTheme="minorHAnsi" w:cstheme="minorHAnsi"/>
              </w:rPr>
            </w:pPr>
            <w:r w:rsidRPr="000B7267">
              <w:rPr>
                <w:rFonts w:asciiTheme="minorHAnsi" w:hAnsiTheme="minorHAnsi" w:cstheme="minorHAnsi"/>
              </w:rPr>
              <w:t>Przez podmioty posiadające wpis do Bazy Usług Rozwojowych uprawniający do publikowania usług z możliwością ich dofinansowania ze środków publicznych rozumie się podmioty wpisane do rejestru, o którym mowa w art. 6 ust. 1 pkt 8 ustawy o PARP. Kryterium będzie oceniane na podstawie treści wniosku o dofinansowanie projektu.</w:t>
            </w:r>
          </w:p>
          <w:p w14:paraId="50C58B7B" w14:textId="77777777" w:rsidR="00F136AF" w:rsidRPr="000B7267" w:rsidRDefault="00F136AF" w:rsidP="000B7267">
            <w:pPr>
              <w:pStyle w:val="Akapitzlist"/>
              <w:spacing w:line="276" w:lineRule="auto"/>
              <w:ind w:left="0"/>
              <w:rPr>
                <w:rFonts w:asciiTheme="minorHAnsi" w:hAnsiTheme="minorHAnsi" w:cstheme="minorHAnsi"/>
              </w:rPr>
            </w:pPr>
          </w:p>
          <w:p w14:paraId="6558A222" w14:textId="60320C20" w:rsidR="00F136AF" w:rsidRPr="000B7267" w:rsidRDefault="00F136AF" w:rsidP="000B7267">
            <w:pPr>
              <w:pStyle w:val="Akapitzlist"/>
              <w:spacing w:line="276" w:lineRule="auto"/>
              <w:ind w:left="0"/>
              <w:rPr>
                <w:rFonts w:asciiTheme="minorHAnsi" w:hAnsiTheme="minorHAnsi" w:cstheme="minorHAnsi"/>
              </w:rPr>
            </w:pPr>
          </w:p>
        </w:tc>
        <w:tc>
          <w:tcPr>
            <w:tcW w:w="1984" w:type="dxa"/>
            <w:vAlign w:val="center"/>
          </w:tcPr>
          <w:p w14:paraId="1450EE36" w14:textId="7B346ADF" w:rsidR="0009519C" w:rsidRPr="000B7267" w:rsidRDefault="0009519C" w:rsidP="000B7267">
            <w:pPr>
              <w:pStyle w:val="Akapitzlist"/>
              <w:spacing w:line="276" w:lineRule="auto"/>
              <w:ind w:left="0"/>
              <w:rPr>
                <w:rFonts w:asciiTheme="minorHAnsi" w:hAnsiTheme="minorHAnsi" w:cstheme="minorHAnsi"/>
              </w:rPr>
            </w:pPr>
            <w:r w:rsidRPr="000B7267">
              <w:rPr>
                <w:rFonts w:asciiTheme="minorHAnsi" w:hAnsiTheme="minorHAnsi" w:cstheme="minorHAnsi"/>
              </w:rPr>
              <w:lastRenderedPageBreak/>
              <w:t>TAK</w:t>
            </w:r>
          </w:p>
        </w:tc>
      </w:tr>
      <w:tr w:rsidR="0009519C" w:rsidRPr="000B7267" w14:paraId="5FA7334B" w14:textId="77777777" w:rsidTr="00CE1A7A">
        <w:tc>
          <w:tcPr>
            <w:tcW w:w="568" w:type="dxa"/>
            <w:vAlign w:val="center"/>
          </w:tcPr>
          <w:p w14:paraId="3C454C09" w14:textId="51E8F3C9" w:rsidR="0009519C" w:rsidRPr="000B7267" w:rsidRDefault="0009519C" w:rsidP="000B7267">
            <w:pPr>
              <w:pStyle w:val="Akapitzlist"/>
              <w:spacing w:line="276" w:lineRule="auto"/>
              <w:ind w:left="0"/>
              <w:rPr>
                <w:rFonts w:asciiTheme="minorHAnsi" w:hAnsiTheme="minorHAnsi" w:cstheme="minorHAnsi"/>
              </w:rPr>
            </w:pPr>
            <w:r w:rsidRPr="000B7267">
              <w:rPr>
                <w:rFonts w:asciiTheme="minorHAnsi" w:hAnsiTheme="minorHAnsi" w:cstheme="minorHAnsi"/>
              </w:rPr>
              <w:t>2.</w:t>
            </w:r>
          </w:p>
        </w:tc>
        <w:tc>
          <w:tcPr>
            <w:tcW w:w="5103" w:type="dxa"/>
            <w:vAlign w:val="center"/>
          </w:tcPr>
          <w:p w14:paraId="0D342B56" w14:textId="77777777" w:rsidR="001C33AF" w:rsidRPr="000B7267" w:rsidRDefault="001C33AF" w:rsidP="000B7267">
            <w:pPr>
              <w:pStyle w:val="Akapitzlist"/>
              <w:spacing w:before="120" w:after="120" w:line="276" w:lineRule="auto"/>
              <w:ind w:left="360"/>
              <w:rPr>
                <w:rFonts w:asciiTheme="minorHAnsi" w:hAnsiTheme="minorHAnsi" w:cstheme="minorHAnsi"/>
              </w:rPr>
            </w:pPr>
            <w:r w:rsidRPr="000B7267">
              <w:rPr>
                <w:rFonts w:asciiTheme="minorHAnsi" w:hAnsiTheme="minorHAnsi" w:cstheme="minorHAnsi"/>
              </w:rPr>
              <w:t>Wsparcie udzielane w ramach projektu polegać będzie na refundacji przez beneficjenta lub partnera :</w:t>
            </w:r>
          </w:p>
          <w:p w14:paraId="256F460E" w14:textId="77777777" w:rsidR="001C33AF" w:rsidRPr="000B7267" w:rsidRDefault="001C33AF" w:rsidP="000B7267">
            <w:pPr>
              <w:pStyle w:val="Akapitzlist"/>
              <w:numPr>
                <w:ilvl w:val="0"/>
                <w:numId w:val="17"/>
              </w:numPr>
              <w:spacing w:before="120" w:after="120" w:line="276" w:lineRule="auto"/>
              <w:ind w:left="705"/>
              <w:rPr>
                <w:rFonts w:asciiTheme="minorHAnsi" w:hAnsiTheme="minorHAnsi" w:cstheme="minorHAnsi"/>
              </w:rPr>
            </w:pPr>
            <w:r w:rsidRPr="000B7267">
              <w:rPr>
                <w:rFonts w:asciiTheme="minorHAnsi" w:hAnsiTheme="minorHAnsi" w:cstheme="minorHAnsi"/>
              </w:rPr>
              <w:t>zakupu licencji zdefiniowanych w kryterium dostępu nr 3 oraz</w:t>
            </w:r>
          </w:p>
          <w:p w14:paraId="38DF4953" w14:textId="77777777" w:rsidR="001C33AF" w:rsidRPr="000B7267" w:rsidRDefault="001C33AF" w:rsidP="000B7267">
            <w:pPr>
              <w:pStyle w:val="Akapitzlist"/>
              <w:numPr>
                <w:ilvl w:val="0"/>
                <w:numId w:val="17"/>
              </w:numPr>
              <w:spacing w:before="120" w:after="120" w:line="276" w:lineRule="auto"/>
              <w:ind w:left="705"/>
              <w:rPr>
                <w:rFonts w:asciiTheme="minorHAnsi" w:hAnsiTheme="minorHAnsi" w:cstheme="minorHAnsi"/>
              </w:rPr>
            </w:pPr>
            <w:r w:rsidRPr="000B7267">
              <w:rPr>
                <w:rFonts w:asciiTheme="minorHAnsi" w:hAnsiTheme="minorHAnsi" w:cstheme="minorHAnsi"/>
              </w:rPr>
              <w:t xml:space="preserve">zakupu usług szkoleniowych lub doradczych związanych bezpośrednio z wykorzystaniem licencji, o ile potrzeba ich realizacji wynika z rzeczywistych potrzeb odbiorców wsparcia zweryfikowanych </w:t>
            </w:r>
            <w:r w:rsidRPr="000B7267">
              <w:rPr>
                <w:rFonts w:asciiTheme="minorHAnsi" w:hAnsiTheme="minorHAnsi" w:cstheme="minorHAnsi"/>
              </w:rPr>
              <w:lastRenderedPageBreak/>
              <w:t xml:space="preserve">przez beneficjenta lub partnera (jeśli występuje). </w:t>
            </w:r>
          </w:p>
          <w:p w14:paraId="4982BC87" w14:textId="3789B925" w:rsidR="0009519C" w:rsidRPr="000B7267" w:rsidRDefault="001C33AF" w:rsidP="000B7267">
            <w:pPr>
              <w:spacing w:after="200" w:line="276" w:lineRule="auto"/>
              <w:contextualSpacing/>
              <w:rPr>
                <w:rFonts w:cstheme="minorHAnsi"/>
                <w:sz w:val="24"/>
                <w:szCs w:val="24"/>
              </w:rPr>
            </w:pPr>
            <w:r w:rsidRPr="000B7267">
              <w:rPr>
                <w:rFonts w:cstheme="minorHAnsi"/>
                <w:sz w:val="24"/>
                <w:szCs w:val="24"/>
              </w:rPr>
              <w:t>Dostawca licencji oraz usług szkoleniowych i doradczych nie może być powiązany z odbiorcą wsparcia, beneficjentem i partnerem (jeśli występuje) kapitałowo lub osobowo.</w:t>
            </w:r>
          </w:p>
        </w:tc>
        <w:tc>
          <w:tcPr>
            <w:tcW w:w="7088" w:type="dxa"/>
            <w:vAlign w:val="center"/>
          </w:tcPr>
          <w:p w14:paraId="37876DEC" w14:textId="04039988" w:rsidR="00F136AF" w:rsidRPr="000B7267" w:rsidRDefault="001C33AF" w:rsidP="000B7267">
            <w:pPr>
              <w:pStyle w:val="Akapitzlist"/>
              <w:spacing w:line="276" w:lineRule="auto"/>
              <w:ind w:left="0"/>
              <w:rPr>
                <w:rFonts w:asciiTheme="minorHAnsi" w:hAnsiTheme="minorHAnsi" w:cstheme="minorHAnsi"/>
              </w:rPr>
            </w:pPr>
            <w:r w:rsidRPr="000B7267">
              <w:rPr>
                <w:rFonts w:asciiTheme="minorHAnsi" w:hAnsiTheme="minorHAnsi" w:cstheme="minorHAnsi"/>
              </w:rPr>
              <w:lastRenderedPageBreak/>
              <w:t>Kryterium ma na celu określenie zakresu wsparcia dostępnego dla odbiorców wsparcia w ramach projektu. Wsparcie dotyczyć może wyłącznie zakupu licencji oraz związanych z nimi bezpośrednio usług szkoleniowych i doradczych.</w:t>
            </w:r>
          </w:p>
        </w:tc>
        <w:tc>
          <w:tcPr>
            <w:tcW w:w="1984" w:type="dxa"/>
            <w:vAlign w:val="center"/>
          </w:tcPr>
          <w:p w14:paraId="0820714C" w14:textId="0A3B0646" w:rsidR="0009519C" w:rsidRPr="000B7267" w:rsidRDefault="0009519C" w:rsidP="000B7267">
            <w:pPr>
              <w:pStyle w:val="Akapitzlist"/>
              <w:spacing w:line="276" w:lineRule="auto"/>
              <w:ind w:left="0"/>
              <w:rPr>
                <w:rFonts w:asciiTheme="minorHAnsi" w:hAnsiTheme="minorHAnsi" w:cstheme="minorHAnsi"/>
              </w:rPr>
            </w:pPr>
            <w:r w:rsidRPr="000B7267">
              <w:rPr>
                <w:rFonts w:asciiTheme="minorHAnsi" w:hAnsiTheme="minorHAnsi" w:cstheme="minorHAnsi"/>
              </w:rPr>
              <w:t>TAK</w:t>
            </w:r>
          </w:p>
        </w:tc>
      </w:tr>
      <w:tr w:rsidR="0009519C" w:rsidRPr="000B7267" w14:paraId="3159CDC0" w14:textId="77777777" w:rsidTr="00CE1A7A">
        <w:tc>
          <w:tcPr>
            <w:tcW w:w="568" w:type="dxa"/>
            <w:vAlign w:val="center"/>
          </w:tcPr>
          <w:p w14:paraId="2C67B76A" w14:textId="734C51BF" w:rsidR="0009519C" w:rsidRPr="000B7267" w:rsidRDefault="0009519C" w:rsidP="000B7267">
            <w:pPr>
              <w:tabs>
                <w:tab w:val="left" w:pos="2475"/>
              </w:tabs>
              <w:spacing w:line="276" w:lineRule="auto"/>
              <w:rPr>
                <w:rFonts w:eastAsia="Times New Roman" w:cstheme="minorHAnsi"/>
                <w:sz w:val="24"/>
                <w:szCs w:val="24"/>
              </w:rPr>
            </w:pPr>
            <w:r w:rsidRPr="000B7267">
              <w:rPr>
                <w:rFonts w:eastAsia="Times New Roman" w:cstheme="minorHAnsi"/>
                <w:sz w:val="24"/>
                <w:szCs w:val="24"/>
              </w:rPr>
              <w:t>3.</w:t>
            </w:r>
          </w:p>
        </w:tc>
        <w:tc>
          <w:tcPr>
            <w:tcW w:w="5103" w:type="dxa"/>
            <w:vAlign w:val="center"/>
          </w:tcPr>
          <w:p w14:paraId="4612B201" w14:textId="77777777" w:rsidR="001C33AF" w:rsidRPr="000B7267" w:rsidRDefault="001C33AF" w:rsidP="000B7267">
            <w:pPr>
              <w:spacing w:after="200" w:line="276" w:lineRule="auto"/>
              <w:rPr>
                <w:rFonts w:cstheme="minorHAnsi"/>
                <w:sz w:val="24"/>
                <w:szCs w:val="24"/>
              </w:rPr>
            </w:pPr>
            <w:r w:rsidRPr="000B7267">
              <w:rPr>
                <w:rFonts w:cstheme="minorHAnsi"/>
                <w:sz w:val="24"/>
                <w:szCs w:val="24"/>
              </w:rPr>
              <w:t>Licencje będące przedmiotem refundacji w ramach projektu muszą uprawniać do stworzenia, rozwoju i sprzedaży nowych form usług rozwojowych lub wykorzystania nowych technologii, w tym w zakresie form zdalnych.</w:t>
            </w:r>
          </w:p>
          <w:p w14:paraId="21F417F4" w14:textId="5306C725" w:rsidR="0009519C" w:rsidRPr="000B7267" w:rsidRDefault="0009519C" w:rsidP="000B7267">
            <w:pPr>
              <w:spacing w:line="276" w:lineRule="auto"/>
              <w:rPr>
                <w:rFonts w:eastAsia="Times New Roman" w:cstheme="minorHAnsi"/>
                <w:sz w:val="24"/>
                <w:szCs w:val="24"/>
              </w:rPr>
            </w:pPr>
          </w:p>
        </w:tc>
        <w:tc>
          <w:tcPr>
            <w:tcW w:w="7088" w:type="dxa"/>
            <w:vAlign w:val="center"/>
          </w:tcPr>
          <w:p w14:paraId="3CE079ED" w14:textId="77777777" w:rsidR="001C33AF" w:rsidRPr="000B7267" w:rsidRDefault="001C33AF" w:rsidP="000B7267">
            <w:pPr>
              <w:spacing w:before="120" w:after="120" w:line="276" w:lineRule="auto"/>
              <w:rPr>
                <w:rFonts w:eastAsia="Times New Roman" w:cstheme="minorHAnsi"/>
                <w:sz w:val="24"/>
                <w:szCs w:val="24"/>
                <w:lang w:eastAsia="pl-PL"/>
              </w:rPr>
            </w:pPr>
            <w:r w:rsidRPr="000B7267">
              <w:rPr>
                <w:rFonts w:eastAsia="Times New Roman" w:cstheme="minorHAnsi"/>
                <w:sz w:val="24"/>
                <w:szCs w:val="24"/>
                <w:lang w:eastAsia="pl-PL"/>
              </w:rPr>
              <w:t>Kryterium ma na celu określenie rodzaju licencji, które mogą podlegać refundacji.</w:t>
            </w:r>
          </w:p>
          <w:p w14:paraId="0AB25018" w14:textId="77777777" w:rsidR="001C33AF" w:rsidRPr="000B7267" w:rsidRDefault="001C33AF" w:rsidP="000B7267">
            <w:pPr>
              <w:spacing w:before="120" w:after="120" w:line="276" w:lineRule="auto"/>
              <w:rPr>
                <w:rFonts w:eastAsia="Times New Roman" w:cstheme="minorHAnsi"/>
                <w:sz w:val="24"/>
                <w:szCs w:val="24"/>
                <w:lang w:eastAsia="pl-PL"/>
              </w:rPr>
            </w:pPr>
            <w:r w:rsidRPr="000B7267">
              <w:rPr>
                <w:rFonts w:eastAsia="Times New Roman" w:cstheme="minorHAnsi"/>
                <w:sz w:val="24"/>
                <w:szCs w:val="24"/>
                <w:lang w:eastAsia="pl-PL"/>
              </w:rPr>
              <w:t>Przez nowe formy usług rozwojowych rozumie się formy usług, których nie posiadał w swojej ofercie odbiorca wsparcia do dnia wystąpienia do beneficjenta z wnioskiem o udzielenie wsparcia.</w:t>
            </w:r>
          </w:p>
          <w:p w14:paraId="75B757C5" w14:textId="77777777" w:rsidR="001C33AF" w:rsidRPr="000B7267" w:rsidRDefault="001C33AF" w:rsidP="000B7267">
            <w:pPr>
              <w:spacing w:before="120" w:after="120" w:line="276" w:lineRule="auto"/>
              <w:rPr>
                <w:rFonts w:eastAsia="Times New Roman" w:cstheme="minorHAnsi"/>
                <w:sz w:val="24"/>
                <w:szCs w:val="24"/>
                <w:lang w:eastAsia="pl-PL"/>
              </w:rPr>
            </w:pPr>
            <w:r w:rsidRPr="000B7267">
              <w:rPr>
                <w:rFonts w:eastAsia="Times New Roman" w:cstheme="minorHAnsi"/>
                <w:sz w:val="24"/>
                <w:szCs w:val="24"/>
                <w:lang w:eastAsia="pl-PL"/>
              </w:rPr>
              <w:t>Przez nowe technologie do świadczenia dotychczasowych usług w nowej formie rozumie się licencje, których nie posiadał odbiorca wsparcia do dnia wystąpienia do beneficjenta z wnioskiem o udzielenie wsparcia.</w:t>
            </w:r>
          </w:p>
          <w:p w14:paraId="15AF2378" w14:textId="77777777" w:rsidR="001C33AF" w:rsidRPr="000B7267" w:rsidRDefault="001C33AF" w:rsidP="000B7267">
            <w:pPr>
              <w:spacing w:before="120" w:after="120" w:line="276" w:lineRule="auto"/>
              <w:rPr>
                <w:rFonts w:eastAsia="Times New Roman" w:cstheme="minorHAnsi"/>
                <w:sz w:val="24"/>
                <w:szCs w:val="24"/>
                <w:lang w:eastAsia="pl-PL"/>
              </w:rPr>
            </w:pPr>
            <w:r w:rsidRPr="000B7267">
              <w:rPr>
                <w:rFonts w:eastAsia="Times New Roman" w:cstheme="minorHAnsi"/>
                <w:sz w:val="24"/>
                <w:szCs w:val="24"/>
                <w:lang w:eastAsia="pl-PL"/>
              </w:rPr>
              <w:t xml:space="preserve">Na etapie oceny kryterium zostanie uznane za spełnione, jeśli we wniosku o dofinasowanie pojawi się co najmniej informacja, że </w:t>
            </w:r>
            <w:r w:rsidRPr="000B7267">
              <w:rPr>
                <w:rFonts w:eastAsia="Times New Roman" w:cstheme="minorHAnsi"/>
                <w:sz w:val="24"/>
                <w:szCs w:val="24"/>
                <w:lang w:eastAsia="pl-PL"/>
              </w:rPr>
              <w:lastRenderedPageBreak/>
              <w:t>licencje podlegające refundacji będą spełniać wymagania określone w tym kryterium.</w:t>
            </w:r>
          </w:p>
          <w:p w14:paraId="2C47B931" w14:textId="36EB10A7" w:rsidR="00F136AF" w:rsidRPr="000B7267" w:rsidRDefault="001C33AF" w:rsidP="000B7267">
            <w:pPr>
              <w:spacing w:after="200" w:line="276" w:lineRule="auto"/>
              <w:rPr>
                <w:rFonts w:eastAsia="Times New Roman" w:cstheme="minorHAnsi"/>
                <w:sz w:val="24"/>
                <w:szCs w:val="24"/>
                <w:lang w:eastAsia="pl-PL"/>
              </w:rPr>
            </w:pPr>
            <w:r w:rsidRPr="000B7267">
              <w:rPr>
                <w:rFonts w:eastAsia="Times New Roman" w:cstheme="minorHAnsi"/>
                <w:sz w:val="24"/>
                <w:szCs w:val="24"/>
                <w:lang w:eastAsia="pl-PL"/>
              </w:rPr>
              <w:t xml:space="preserve">Na etapie wdrażania projektu za weryfikację i udokumentowanie spełniania przez licencje wymagań kryterium odpowiada beneficjent lub partner (jeśli występuje). </w:t>
            </w:r>
          </w:p>
        </w:tc>
        <w:tc>
          <w:tcPr>
            <w:tcW w:w="1984" w:type="dxa"/>
            <w:vAlign w:val="center"/>
          </w:tcPr>
          <w:p w14:paraId="2FA39361" w14:textId="29016E23" w:rsidR="0009519C" w:rsidRPr="000B7267" w:rsidRDefault="001C33AF" w:rsidP="000B7267">
            <w:pPr>
              <w:pStyle w:val="Akapitzlist"/>
              <w:spacing w:line="276" w:lineRule="auto"/>
              <w:ind w:left="0"/>
              <w:rPr>
                <w:rFonts w:asciiTheme="minorHAnsi" w:hAnsiTheme="minorHAnsi" w:cstheme="minorHAnsi"/>
                <w:bCs/>
              </w:rPr>
            </w:pPr>
            <w:r w:rsidRPr="000B7267">
              <w:rPr>
                <w:rFonts w:asciiTheme="minorHAnsi" w:hAnsiTheme="minorHAnsi" w:cstheme="minorHAnsi"/>
                <w:bCs/>
              </w:rPr>
              <w:lastRenderedPageBreak/>
              <w:t>TAK</w:t>
            </w:r>
          </w:p>
        </w:tc>
      </w:tr>
      <w:tr w:rsidR="0009519C" w:rsidRPr="000B7267" w14:paraId="302D40BC" w14:textId="77777777" w:rsidTr="00CE1A7A">
        <w:tc>
          <w:tcPr>
            <w:tcW w:w="568" w:type="dxa"/>
            <w:vAlign w:val="center"/>
          </w:tcPr>
          <w:p w14:paraId="378A713D" w14:textId="2FABF7C0" w:rsidR="0009519C" w:rsidRPr="000B7267" w:rsidRDefault="0009519C" w:rsidP="000B7267">
            <w:pPr>
              <w:tabs>
                <w:tab w:val="left" w:pos="299"/>
              </w:tabs>
              <w:spacing w:before="120" w:after="120" w:line="276" w:lineRule="auto"/>
              <w:rPr>
                <w:rFonts w:eastAsia="Times New Roman" w:cstheme="minorHAnsi"/>
                <w:sz w:val="24"/>
                <w:szCs w:val="24"/>
              </w:rPr>
            </w:pPr>
            <w:r w:rsidRPr="000B7267">
              <w:rPr>
                <w:rFonts w:eastAsia="Times New Roman" w:cstheme="minorHAnsi"/>
                <w:sz w:val="24"/>
                <w:szCs w:val="24"/>
              </w:rPr>
              <w:t>4.</w:t>
            </w:r>
          </w:p>
        </w:tc>
        <w:tc>
          <w:tcPr>
            <w:tcW w:w="5103" w:type="dxa"/>
            <w:vAlign w:val="center"/>
          </w:tcPr>
          <w:p w14:paraId="5526FAF7" w14:textId="0816D28C" w:rsidR="0009519C" w:rsidRPr="000B7267" w:rsidRDefault="009B2951" w:rsidP="000B7267">
            <w:pPr>
              <w:spacing w:after="200" w:line="276" w:lineRule="auto"/>
              <w:rPr>
                <w:rFonts w:cstheme="minorHAnsi"/>
                <w:sz w:val="24"/>
                <w:szCs w:val="24"/>
              </w:rPr>
            </w:pPr>
            <w:r w:rsidRPr="000B7267">
              <w:rPr>
                <w:rFonts w:cstheme="minorHAnsi"/>
                <w:sz w:val="24"/>
                <w:szCs w:val="24"/>
              </w:rPr>
              <w:t>Odbiorca wsparcia nie może być dostawcą licencji ani usług szkoleniowych i doradczych dla pozostałych odbiorców wsparcia w ramach całego naboru.</w:t>
            </w:r>
          </w:p>
        </w:tc>
        <w:tc>
          <w:tcPr>
            <w:tcW w:w="7088" w:type="dxa"/>
            <w:vAlign w:val="center"/>
          </w:tcPr>
          <w:p w14:paraId="679B76BC" w14:textId="77777777" w:rsidR="009B2951" w:rsidRPr="000B7267" w:rsidRDefault="009B2951" w:rsidP="000B7267">
            <w:pPr>
              <w:spacing w:before="60" w:after="60" w:line="276" w:lineRule="auto"/>
              <w:ind w:left="29"/>
              <w:rPr>
                <w:rFonts w:cstheme="minorHAnsi"/>
                <w:sz w:val="24"/>
                <w:szCs w:val="24"/>
              </w:rPr>
            </w:pPr>
            <w:r w:rsidRPr="000B7267">
              <w:rPr>
                <w:rFonts w:cstheme="minorHAnsi"/>
                <w:sz w:val="24"/>
                <w:szCs w:val="24"/>
              </w:rPr>
              <w:t xml:space="preserve">Kryterium ma na celu wykluczenie możliwości sprzedaży licencji oraz usług szkoleniowych i doradczych przez odbiorców wsparcia w ramach naboru. Podmiot nie może w ramach naboru wystąpić jednocześnie w roli dostawcy i ostatecznego odbiorcy wsparcia. </w:t>
            </w:r>
          </w:p>
          <w:p w14:paraId="5376AC59" w14:textId="4BE8EE60" w:rsidR="0009519C" w:rsidRPr="000B7267" w:rsidRDefault="009B2951" w:rsidP="000B7267">
            <w:pPr>
              <w:spacing w:after="200" w:line="276" w:lineRule="auto"/>
              <w:rPr>
                <w:rFonts w:cstheme="minorHAnsi"/>
                <w:sz w:val="24"/>
                <w:szCs w:val="24"/>
              </w:rPr>
            </w:pPr>
            <w:r w:rsidRPr="000B7267">
              <w:rPr>
                <w:rFonts w:cstheme="minorHAnsi"/>
                <w:sz w:val="24"/>
                <w:szCs w:val="24"/>
              </w:rPr>
              <w:t>Na etapie oceny kryterium zostanie uznane za spełnione, jeśli we wniosku o dofinasowanie pojawi się co najmniej informacja, że licencje</w:t>
            </w:r>
            <w:r w:rsidRPr="000B7267">
              <w:rPr>
                <w:rFonts w:cstheme="minorHAnsi"/>
              </w:rPr>
              <w:t xml:space="preserve"> </w:t>
            </w:r>
            <w:r w:rsidRPr="000B7267">
              <w:rPr>
                <w:rFonts w:cstheme="minorHAnsi"/>
                <w:sz w:val="24"/>
                <w:szCs w:val="24"/>
              </w:rPr>
              <w:t>oraz usługi szkoleniowe i doradcze podlegające refundacji będą spełniać wymagania określone w tym kryterium.</w:t>
            </w:r>
          </w:p>
        </w:tc>
        <w:tc>
          <w:tcPr>
            <w:tcW w:w="1984" w:type="dxa"/>
            <w:vAlign w:val="center"/>
          </w:tcPr>
          <w:p w14:paraId="4FBD6735" w14:textId="5B199D84" w:rsidR="0009519C" w:rsidRPr="000B7267" w:rsidRDefault="009B2951" w:rsidP="000B7267">
            <w:pPr>
              <w:pStyle w:val="Akapitzlist"/>
              <w:spacing w:line="276" w:lineRule="auto"/>
              <w:ind w:left="0"/>
              <w:rPr>
                <w:rFonts w:asciiTheme="minorHAnsi" w:hAnsiTheme="minorHAnsi" w:cstheme="minorHAnsi"/>
                <w:bCs/>
              </w:rPr>
            </w:pPr>
            <w:r w:rsidRPr="000B7267">
              <w:rPr>
                <w:rFonts w:asciiTheme="minorHAnsi" w:hAnsiTheme="minorHAnsi" w:cstheme="minorHAnsi"/>
                <w:bCs/>
              </w:rPr>
              <w:t>TAK</w:t>
            </w:r>
          </w:p>
        </w:tc>
      </w:tr>
      <w:tr w:rsidR="0009519C" w:rsidRPr="000B7267" w14:paraId="76461E73" w14:textId="77777777" w:rsidTr="00CE1A7A">
        <w:tc>
          <w:tcPr>
            <w:tcW w:w="568" w:type="dxa"/>
            <w:vAlign w:val="center"/>
          </w:tcPr>
          <w:p w14:paraId="1C798675" w14:textId="31694C97" w:rsidR="0009519C" w:rsidRPr="000B7267" w:rsidRDefault="0009519C" w:rsidP="000B7267">
            <w:pPr>
              <w:pStyle w:val="Akapitzlist"/>
              <w:spacing w:line="276" w:lineRule="auto"/>
              <w:ind w:left="0"/>
              <w:rPr>
                <w:rFonts w:asciiTheme="minorHAnsi" w:hAnsiTheme="minorHAnsi" w:cstheme="minorHAnsi"/>
              </w:rPr>
            </w:pPr>
            <w:r w:rsidRPr="000B7267">
              <w:rPr>
                <w:rFonts w:asciiTheme="minorHAnsi" w:hAnsiTheme="minorHAnsi" w:cstheme="minorHAnsi"/>
              </w:rPr>
              <w:t>5.</w:t>
            </w:r>
          </w:p>
        </w:tc>
        <w:tc>
          <w:tcPr>
            <w:tcW w:w="5103" w:type="dxa"/>
            <w:vAlign w:val="center"/>
          </w:tcPr>
          <w:p w14:paraId="7D28052D" w14:textId="7F7200AF" w:rsidR="0009519C" w:rsidRPr="000B7267" w:rsidRDefault="009B2951" w:rsidP="000B7267">
            <w:pPr>
              <w:spacing w:after="200" w:line="276" w:lineRule="auto"/>
              <w:rPr>
                <w:rFonts w:cstheme="minorHAnsi"/>
                <w:sz w:val="24"/>
                <w:szCs w:val="24"/>
              </w:rPr>
            </w:pPr>
            <w:r w:rsidRPr="000B7267">
              <w:rPr>
                <w:rFonts w:cstheme="minorHAnsi"/>
                <w:sz w:val="24"/>
                <w:szCs w:val="24"/>
              </w:rPr>
              <w:t xml:space="preserve">Wsparcie udzielane w projekcie może dotyczyć wyłącznie tych licencji, które zostały wykorzystane w obrocie gospodarczym do dostarczenia co najmniej 5 komercyjnych usług łącznie dla 50 uczestników w okresie ostatnich 3 </w:t>
            </w:r>
            <w:r w:rsidRPr="000B7267">
              <w:rPr>
                <w:rFonts w:cstheme="minorHAnsi"/>
                <w:sz w:val="24"/>
                <w:szCs w:val="24"/>
              </w:rPr>
              <w:lastRenderedPageBreak/>
              <w:t>lat przed dniem wystąpienia przez odbiorcę wsparcia z wnioskiem o jego udzielenie.</w:t>
            </w:r>
          </w:p>
        </w:tc>
        <w:tc>
          <w:tcPr>
            <w:tcW w:w="7088" w:type="dxa"/>
            <w:vAlign w:val="center"/>
          </w:tcPr>
          <w:p w14:paraId="54544BB6" w14:textId="77777777" w:rsidR="009B2951" w:rsidRPr="000B7267" w:rsidRDefault="009B2951" w:rsidP="000B7267">
            <w:pPr>
              <w:spacing w:after="120" w:line="276" w:lineRule="auto"/>
              <w:rPr>
                <w:rFonts w:cstheme="minorHAnsi"/>
                <w:color w:val="000000"/>
                <w:sz w:val="24"/>
                <w:szCs w:val="24"/>
              </w:rPr>
            </w:pPr>
            <w:r w:rsidRPr="000B7267">
              <w:rPr>
                <w:rFonts w:cstheme="minorHAnsi"/>
                <w:color w:val="000000"/>
                <w:sz w:val="24"/>
                <w:szCs w:val="24"/>
              </w:rPr>
              <w:lastRenderedPageBreak/>
              <w:t xml:space="preserve">Kryterium ma na celu zapewnienie wysokiej jakości udzielanego wsparcia poprzez ograniczenie możliwości refundacji kosztów zakupu przez odbiorcę wsparcia wyłącznie do tych licencji, które zostały wykorzystane do świadczenia usług poddanych mechanizmom weryfikacji rynkowej. </w:t>
            </w:r>
          </w:p>
          <w:p w14:paraId="40E970B7" w14:textId="77777777" w:rsidR="009B2951" w:rsidRPr="000B7267" w:rsidRDefault="009B2951" w:rsidP="000B7267">
            <w:pPr>
              <w:spacing w:after="120" w:line="276" w:lineRule="auto"/>
              <w:rPr>
                <w:rFonts w:cstheme="minorHAnsi"/>
                <w:color w:val="000000"/>
                <w:sz w:val="24"/>
                <w:szCs w:val="24"/>
              </w:rPr>
            </w:pPr>
            <w:r w:rsidRPr="000B7267">
              <w:rPr>
                <w:rFonts w:cstheme="minorHAnsi"/>
                <w:color w:val="000000"/>
                <w:sz w:val="24"/>
                <w:szCs w:val="24"/>
              </w:rPr>
              <w:lastRenderedPageBreak/>
              <w:t>Przez usługi komercyjne rozumie się usługi, których dostarczenie udokumentowane zostało dokumentem księgowym (z wyłączeniem noty księgowej) wystawionym przez dostawcę usługi.</w:t>
            </w:r>
          </w:p>
          <w:p w14:paraId="5695F006" w14:textId="77777777" w:rsidR="009B2951" w:rsidRPr="000B7267" w:rsidRDefault="009B2951" w:rsidP="000B7267">
            <w:pPr>
              <w:spacing w:after="120" w:line="276" w:lineRule="auto"/>
              <w:rPr>
                <w:rFonts w:cstheme="minorHAnsi"/>
                <w:color w:val="000000"/>
                <w:sz w:val="24"/>
                <w:szCs w:val="24"/>
              </w:rPr>
            </w:pPr>
            <w:r w:rsidRPr="000B7267">
              <w:rPr>
                <w:rFonts w:cstheme="minorHAnsi"/>
                <w:color w:val="000000"/>
                <w:sz w:val="24"/>
                <w:szCs w:val="24"/>
              </w:rPr>
              <w:t>Na etapie oceny kryterium zostanie uznane za spełnione, jeśli we wniosku o dofinasowanie pojawi się co najmniej informacja, że licencje podlegające refundacji będą spełniać wymagania określone w tym kryterium.</w:t>
            </w:r>
          </w:p>
          <w:p w14:paraId="035B84EA" w14:textId="521F20D0" w:rsidR="0009519C" w:rsidRPr="000B7267" w:rsidRDefault="009B2951" w:rsidP="000B7267">
            <w:pPr>
              <w:spacing w:after="200" w:line="276" w:lineRule="auto"/>
              <w:rPr>
                <w:rFonts w:cstheme="minorHAnsi"/>
                <w:color w:val="000000"/>
                <w:sz w:val="24"/>
                <w:szCs w:val="24"/>
              </w:rPr>
            </w:pPr>
            <w:r w:rsidRPr="000B7267">
              <w:rPr>
                <w:rFonts w:cstheme="minorHAnsi"/>
                <w:color w:val="000000"/>
                <w:sz w:val="24"/>
                <w:szCs w:val="24"/>
              </w:rPr>
              <w:t>Na etapie wdrażania projektu za weryfikację i udokumentowanie spełniania przez licencje wymagań kryterium odpowiada beneficjent lub partner (jeśli występuje).</w:t>
            </w:r>
          </w:p>
        </w:tc>
        <w:tc>
          <w:tcPr>
            <w:tcW w:w="1984" w:type="dxa"/>
            <w:vAlign w:val="center"/>
          </w:tcPr>
          <w:p w14:paraId="41DA7EFA" w14:textId="28527140" w:rsidR="0009519C" w:rsidRPr="000B7267" w:rsidRDefault="00F136AF" w:rsidP="000B7267">
            <w:pPr>
              <w:pStyle w:val="Akapitzlist"/>
              <w:spacing w:line="276" w:lineRule="auto"/>
              <w:ind w:left="0"/>
              <w:rPr>
                <w:rFonts w:asciiTheme="minorHAnsi" w:hAnsiTheme="minorHAnsi" w:cstheme="minorHAnsi"/>
              </w:rPr>
            </w:pPr>
            <w:r w:rsidRPr="000B7267">
              <w:rPr>
                <w:rFonts w:asciiTheme="minorHAnsi" w:hAnsiTheme="minorHAnsi" w:cstheme="minorHAnsi"/>
              </w:rPr>
              <w:lastRenderedPageBreak/>
              <w:t>TAK</w:t>
            </w:r>
          </w:p>
        </w:tc>
      </w:tr>
      <w:tr w:rsidR="0009519C" w:rsidRPr="000B7267" w14:paraId="76226660" w14:textId="77777777" w:rsidTr="00CE1A7A">
        <w:tc>
          <w:tcPr>
            <w:tcW w:w="568" w:type="dxa"/>
            <w:vAlign w:val="center"/>
          </w:tcPr>
          <w:p w14:paraId="37A6E47E" w14:textId="0E7B75F7" w:rsidR="0009519C" w:rsidRPr="000B7267" w:rsidRDefault="0009519C" w:rsidP="000B7267">
            <w:pPr>
              <w:pStyle w:val="Akapitzlist"/>
              <w:spacing w:line="276" w:lineRule="auto"/>
              <w:ind w:left="0"/>
              <w:rPr>
                <w:rFonts w:asciiTheme="minorHAnsi" w:hAnsiTheme="minorHAnsi" w:cstheme="minorHAnsi"/>
              </w:rPr>
            </w:pPr>
            <w:r w:rsidRPr="000B7267">
              <w:rPr>
                <w:rFonts w:asciiTheme="minorHAnsi" w:hAnsiTheme="minorHAnsi" w:cstheme="minorHAnsi"/>
              </w:rPr>
              <w:t>6.</w:t>
            </w:r>
          </w:p>
        </w:tc>
        <w:tc>
          <w:tcPr>
            <w:tcW w:w="5103" w:type="dxa"/>
            <w:vAlign w:val="center"/>
          </w:tcPr>
          <w:p w14:paraId="1898782A" w14:textId="74FD0E40" w:rsidR="0009519C" w:rsidRPr="000B7267" w:rsidRDefault="009B2951" w:rsidP="000B7267">
            <w:pPr>
              <w:spacing w:after="200" w:line="276" w:lineRule="auto"/>
              <w:rPr>
                <w:rFonts w:cstheme="minorHAnsi"/>
                <w:sz w:val="24"/>
                <w:szCs w:val="24"/>
              </w:rPr>
            </w:pPr>
            <w:r w:rsidRPr="000B7267">
              <w:rPr>
                <w:rFonts w:cstheme="minorHAnsi"/>
                <w:sz w:val="24"/>
                <w:szCs w:val="24"/>
              </w:rPr>
              <w:t>Refundacji w ramach projektu podlega zakup licencji dokonany przez odbiorcę wsparcia nie wcześniej niż po podpisaniu umowy wsparcia z beneficjentem i ich finansowanie przez okres nie dłuższy niż 24 miesiące.</w:t>
            </w:r>
          </w:p>
        </w:tc>
        <w:tc>
          <w:tcPr>
            <w:tcW w:w="7088" w:type="dxa"/>
            <w:vAlign w:val="center"/>
          </w:tcPr>
          <w:p w14:paraId="6D53F095" w14:textId="77777777" w:rsidR="009B2951" w:rsidRPr="000B7267" w:rsidRDefault="009B2951" w:rsidP="000B7267">
            <w:pPr>
              <w:spacing w:after="200" w:line="276" w:lineRule="auto"/>
              <w:rPr>
                <w:rFonts w:cstheme="minorHAnsi"/>
                <w:sz w:val="24"/>
                <w:szCs w:val="24"/>
              </w:rPr>
            </w:pPr>
            <w:r w:rsidRPr="000B7267">
              <w:rPr>
                <w:rFonts w:cstheme="minorHAnsi"/>
                <w:sz w:val="24"/>
                <w:szCs w:val="24"/>
              </w:rPr>
              <w:t>Kryterium ma na celu określenie przedziału czasowego, w jakim wykorzystywanie licencji podlega refundacji (24 miesiące od dnia zakupu przez ostatecznego odbiorcę).</w:t>
            </w:r>
          </w:p>
          <w:p w14:paraId="48417B0A" w14:textId="77777777" w:rsidR="009B2951" w:rsidRPr="000B7267" w:rsidRDefault="009B2951" w:rsidP="000B7267">
            <w:pPr>
              <w:spacing w:before="60" w:line="276" w:lineRule="auto"/>
              <w:ind w:left="29"/>
              <w:rPr>
                <w:rFonts w:cstheme="minorHAnsi"/>
                <w:sz w:val="24"/>
                <w:szCs w:val="24"/>
              </w:rPr>
            </w:pPr>
            <w:r w:rsidRPr="000B7267">
              <w:rPr>
                <w:rFonts w:cstheme="minorHAnsi"/>
                <w:sz w:val="24"/>
                <w:szCs w:val="24"/>
              </w:rPr>
              <w:t>Na etapie oceny kryterium zostanie uznane za spełnione, jeśli we wniosku o dofinasowanie pojawi się co najmniej informacja, że licencje podlegające refundacji będą spełniać wymagania określone w tym kryterium.</w:t>
            </w:r>
          </w:p>
          <w:p w14:paraId="2C469430" w14:textId="091B500A" w:rsidR="007C3C4E" w:rsidRPr="000B7267" w:rsidRDefault="009B2951" w:rsidP="000B7267">
            <w:pPr>
              <w:spacing w:after="200" w:line="276" w:lineRule="auto"/>
              <w:rPr>
                <w:rFonts w:cstheme="minorHAnsi"/>
                <w:sz w:val="24"/>
                <w:szCs w:val="24"/>
              </w:rPr>
            </w:pPr>
            <w:r w:rsidRPr="000B7267">
              <w:rPr>
                <w:rFonts w:cstheme="minorHAnsi"/>
                <w:sz w:val="24"/>
                <w:szCs w:val="24"/>
              </w:rPr>
              <w:lastRenderedPageBreak/>
              <w:t>Na etapie wdrażania projektu za weryfikację i udokumentowanie spełniania przez licencje wymagań kryterium odpowiada beneficjent lub partner (jeśli występuje).</w:t>
            </w:r>
          </w:p>
        </w:tc>
        <w:tc>
          <w:tcPr>
            <w:tcW w:w="1984" w:type="dxa"/>
            <w:vAlign w:val="center"/>
          </w:tcPr>
          <w:p w14:paraId="3373A234" w14:textId="0EB8D251" w:rsidR="0009519C" w:rsidRPr="000B7267" w:rsidRDefault="0009519C" w:rsidP="000B7267">
            <w:pPr>
              <w:pStyle w:val="Akapitzlist"/>
              <w:spacing w:line="276" w:lineRule="auto"/>
              <w:ind w:left="0"/>
              <w:rPr>
                <w:rFonts w:asciiTheme="minorHAnsi" w:hAnsiTheme="minorHAnsi" w:cstheme="minorHAnsi"/>
              </w:rPr>
            </w:pPr>
            <w:r w:rsidRPr="000B7267">
              <w:rPr>
                <w:rFonts w:asciiTheme="minorHAnsi" w:hAnsiTheme="minorHAnsi" w:cstheme="minorHAnsi"/>
              </w:rPr>
              <w:lastRenderedPageBreak/>
              <w:t>TAK</w:t>
            </w:r>
          </w:p>
        </w:tc>
      </w:tr>
      <w:tr w:rsidR="00180561" w:rsidRPr="000B7267" w14:paraId="63232F75" w14:textId="77777777" w:rsidTr="00CE1A7A">
        <w:tc>
          <w:tcPr>
            <w:tcW w:w="568" w:type="dxa"/>
            <w:vAlign w:val="center"/>
          </w:tcPr>
          <w:p w14:paraId="6E4C32A4" w14:textId="7570D72E" w:rsidR="00180561" w:rsidRPr="000B7267" w:rsidRDefault="00180561" w:rsidP="000B7267">
            <w:pPr>
              <w:pStyle w:val="Akapitzlist"/>
              <w:spacing w:line="276" w:lineRule="auto"/>
              <w:ind w:left="0"/>
              <w:rPr>
                <w:rFonts w:asciiTheme="minorHAnsi" w:hAnsiTheme="minorHAnsi" w:cstheme="minorHAnsi"/>
              </w:rPr>
            </w:pPr>
            <w:r w:rsidRPr="000B7267">
              <w:rPr>
                <w:rFonts w:asciiTheme="minorHAnsi" w:hAnsiTheme="minorHAnsi" w:cstheme="minorHAnsi"/>
              </w:rPr>
              <w:t>7.</w:t>
            </w:r>
          </w:p>
        </w:tc>
        <w:tc>
          <w:tcPr>
            <w:tcW w:w="5103" w:type="dxa"/>
            <w:vAlign w:val="center"/>
          </w:tcPr>
          <w:p w14:paraId="7C3FB037" w14:textId="7485C3E2" w:rsidR="00180561" w:rsidRPr="000B7267" w:rsidRDefault="009B2951" w:rsidP="000B7267">
            <w:pPr>
              <w:spacing w:after="200" w:line="276" w:lineRule="auto"/>
              <w:rPr>
                <w:rFonts w:cstheme="minorHAnsi"/>
                <w:sz w:val="24"/>
                <w:szCs w:val="24"/>
              </w:rPr>
            </w:pPr>
            <w:r w:rsidRPr="000B7267">
              <w:rPr>
                <w:rFonts w:cstheme="minorHAnsi"/>
                <w:sz w:val="24"/>
                <w:szCs w:val="24"/>
              </w:rPr>
              <w:t xml:space="preserve">Budżet projektu na etapie składania wniosku o dofinansowanie wynosi nie mniej niż </w:t>
            </w:r>
            <w:r w:rsidRPr="000B7267">
              <w:rPr>
                <w:rFonts w:cstheme="minorHAnsi"/>
                <w:b/>
                <w:bCs/>
                <w:sz w:val="24"/>
                <w:szCs w:val="24"/>
              </w:rPr>
              <w:t xml:space="preserve">9 375 000 zł </w:t>
            </w:r>
            <w:r w:rsidRPr="000B7267">
              <w:rPr>
                <w:rFonts w:cstheme="minorHAnsi"/>
                <w:sz w:val="24"/>
                <w:szCs w:val="24"/>
                <w:lang w:eastAsia="pl-PL"/>
              </w:rPr>
              <w:t xml:space="preserve">oraz nie więcej niż </w:t>
            </w:r>
            <w:r w:rsidRPr="000B7267">
              <w:rPr>
                <w:rFonts w:cstheme="minorHAnsi"/>
                <w:b/>
                <w:sz w:val="24"/>
                <w:szCs w:val="24"/>
                <w:lang w:eastAsia="pl-PL"/>
              </w:rPr>
              <w:t>12 500 000 zł</w:t>
            </w:r>
            <w:r w:rsidRPr="000B7267">
              <w:rPr>
                <w:rFonts w:cstheme="minorHAnsi"/>
                <w:sz w:val="24"/>
                <w:szCs w:val="24"/>
              </w:rPr>
              <w:t xml:space="preserve">, przy założeniu, że średni koszt wsparcia jednego odbiorcy wsparcia w ramach projektu nie może przekroczyć </w:t>
            </w:r>
            <w:r w:rsidRPr="000B7267">
              <w:rPr>
                <w:rFonts w:cstheme="minorHAnsi"/>
                <w:b/>
                <w:bCs/>
                <w:sz w:val="24"/>
                <w:szCs w:val="24"/>
              </w:rPr>
              <w:t>75 000 zł</w:t>
            </w:r>
            <w:r w:rsidRPr="000B7267">
              <w:rPr>
                <w:rFonts w:cstheme="minorHAnsi"/>
                <w:sz w:val="24"/>
                <w:szCs w:val="24"/>
              </w:rPr>
              <w:t>.</w:t>
            </w:r>
          </w:p>
        </w:tc>
        <w:tc>
          <w:tcPr>
            <w:tcW w:w="7088" w:type="dxa"/>
            <w:vAlign w:val="center"/>
          </w:tcPr>
          <w:p w14:paraId="736CB3AD" w14:textId="77777777" w:rsidR="009B2951" w:rsidRPr="000B7267" w:rsidRDefault="009B2951" w:rsidP="000B7267">
            <w:pPr>
              <w:spacing w:after="200" w:line="276" w:lineRule="auto"/>
              <w:rPr>
                <w:rFonts w:cstheme="minorHAnsi"/>
                <w:sz w:val="24"/>
                <w:szCs w:val="24"/>
              </w:rPr>
            </w:pPr>
            <w:r w:rsidRPr="000B7267">
              <w:rPr>
                <w:rFonts w:cstheme="minorHAnsi"/>
                <w:sz w:val="24"/>
                <w:szCs w:val="24"/>
              </w:rPr>
              <w:t>Kryterium ma zagwarantować, że projekt jest odpowiedzią na nabór i zapewni realizację wskaźników działania. Kryterium ma również umożliwić realizację projektów o odpowiednio dużym budżecie, gwarantującym optymalne wykorzystanie dostępnych środków oraz sprawną obsługę projektów przez IP.</w:t>
            </w:r>
          </w:p>
          <w:p w14:paraId="32582AE3" w14:textId="4143CFC0" w:rsidR="00180561" w:rsidRPr="000B7267" w:rsidRDefault="009B2951" w:rsidP="000B7267">
            <w:pPr>
              <w:spacing w:after="200" w:line="276" w:lineRule="auto"/>
              <w:rPr>
                <w:rFonts w:cstheme="minorHAnsi"/>
                <w:sz w:val="24"/>
                <w:szCs w:val="24"/>
              </w:rPr>
            </w:pPr>
            <w:r w:rsidRPr="000B7267">
              <w:rPr>
                <w:rFonts w:cstheme="minorHAnsi"/>
                <w:sz w:val="24"/>
                <w:szCs w:val="24"/>
              </w:rPr>
              <w:t>Na etapie wdrażania dopuszcza się możliwość zwiększenia budżetu projektu wybranego do dofinansowania, poza limit wskazany w kryterium, w szczególności w sytuacji zwiększenia alokacji przewidzianej na nabór.</w:t>
            </w:r>
          </w:p>
        </w:tc>
        <w:tc>
          <w:tcPr>
            <w:tcW w:w="1984" w:type="dxa"/>
            <w:vAlign w:val="center"/>
          </w:tcPr>
          <w:p w14:paraId="7B721882" w14:textId="73FF08B4" w:rsidR="00180561" w:rsidRPr="000B7267" w:rsidRDefault="009B2951" w:rsidP="000B7267">
            <w:pPr>
              <w:pStyle w:val="Akapitzlist"/>
              <w:spacing w:line="276" w:lineRule="auto"/>
              <w:ind w:left="0"/>
              <w:rPr>
                <w:rFonts w:asciiTheme="minorHAnsi" w:hAnsiTheme="minorHAnsi" w:cstheme="minorHAnsi"/>
              </w:rPr>
            </w:pPr>
            <w:r w:rsidRPr="000B7267">
              <w:rPr>
                <w:rFonts w:asciiTheme="minorHAnsi" w:hAnsiTheme="minorHAnsi" w:cstheme="minorHAnsi"/>
              </w:rPr>
              <w:t>TAK</w:t>
            </w:r>
          </w:p>
        </w:tc>
      </w:tr>
      <w:tr w:rsidR="00180561" w:rsidRPr="000B7267" w14:paraId="63D70B91" w14:textId="77777777" w:rsidTr="00CE1A7A">
        <w:tc>
          <w:tcPr>
            <w:tcW w:w="568" w:type="dxa"/>
            <w:vAlign w:val="center"/>
          </w:tcPr>
          <w:p w14:paraId="71912E89" w14:textId="08CE5E2A" w:rsidR="00180561" w:rsidRPr="000B7267" w:rsidRDefault="00180561" w:rsidP="000B7267">
            <w:pPr>
              <w:pStyle w:val="Akapitzlist"/>
              <w:spacing w:line="276" w:lineRule="auto"/>
              <w:ind w:left="0"/>
              <w:rPr>
                <w:rFonts w:asciiTheme="minorHAnsi" w:hAnsiTheme="minorHAnsi" w:cstheme="minorHAnsi"/>
              </w:rPr>
            </w:pPr>
            <w:r w:rsidRPr="000B7267">
              <w:rPr>
                <w:rFonts w:asciiTheme="minorHAnsi" w:hAnsiTheme="minorHAnsi" w:cstheme="minorHAnsi"/>
              </w:rPr>
              <w:t>8.</w:t>
            </w:r>
          </w:p>
        </w:tc>
        <w:tc>
          <w:tcPr>
            <w:tcW w:w="5103" w:type="dxa"/>
            <w:vAlign w:val="center"/>
          </w:tcPr>
          <w:p w14:paraId="69B32B9D" w14:textId="5D6E1E70" w:rsidR="00180561" w:rsidRPr="000B7267" w:rsidRDefault="009B2951" w:rsidP="000B7267">
            <w:pPr>
              <w:spacing w:after="200" w:line="276" w:lineRule="auto"/>
              <w:rPr>
                <w:rFonts w:cstheme="minorHAnsi"/>
                <w:sz w:val="24"/>
                <w:szCs w:val="24"/>
              </w:rPr>
            </w:pPr>
            <w:r w:rsidRPr="000B7267">
              <w:rPr>
                <w:rFonts w:cstheme="minorHAnsi"/>
                <w:sz w:val="24"/>
                <w:szCs w:val="24"/>
              </w:rPr>
              <w:t>Podmiot może wystąpić we wniosku o dofinansowanie raz w ramach naboru.</w:t>
            </w:r>
          </w:p>
        </w:tc>
        <w:tc>
          <w:tcPr>
            <w:tcW w:w="7088" w:type="dxa"/>
            <w:vAlign w:val="center"/>
          </w:tcPr>
          <w:p w14:paraId="79D01F25" w14:textId="77777777" w:rsidR="009B2951" w:rsidRPr="000B7267" w:rsidRDefault="009B2951" w:rsidP="000B7267">
            <w:pPr>
              <w:spacing w:after="200" w:line="276" w:lineRule="auto"/>
              <w:rPr>
                <w:rFonts w:cstheme="minorHAnsi"/>
                <w:sz w:val="24"/>
                <w:szCs w:val="24"/>
              </w:rPr>
            </w:pPr>
            <w:r w:rsidRPr="000B7267">
              <w:rPr>
                <w:rFonts w:cstheme="minorHAnsi"/>
                <w:sz w:val="24"/>
                <w:szCs w:val="24"/>
              </w:rPr>
              <w:t>Kryterium ma na celu wybór podmiotów, które będą skupiać się na realizacji jednego projektu w ramach naboru oraz podniesienie motywacji wnioskodawców do składania lepszych jakościowo wniosków.</w:t>
            </w:r>
          </w:p>
          <w:p w14:paraId="199D0AF7" w14:textId="1DB6E14D" w:rsidR="00180561" w:rsidRPr="000B7267" w:rsidRDefault="009B2951" w:rsidP="000B7267">
            <w:pPr>
              <w:spacing w:before="120" w:after="120" w:line="276" w:lineRule="auto"/>
              <w:rPr>
                <w:rFonts w:cstheme="minorHAnsi"/>
                <w:sz w:val="24"/>
                <w:szCs w:val="24"/>
              </w:rPr>
            </w:pPr>
            <w:r w:rsidRPr="000B7267">
              <w:rPr>
                <w:rFonts w:cstheme="minorHAnsi"/>
                <w:sz w:val="24"/>
                <w:szCs w:val="24"/>
              </w:rPr>
              <w:t>Kryterium będzie oceniane na podstawie treści wniosku o dofinansowanie projektu.</w:t>
            </w:r>
          </w:p>
        </w:tc>
        <w:tc>
          <w:tcPr>
            <w:tcW w:w="1984" w:type="dxa"/>
            <w:vAlign w:val="center"/>
          </w:tcPr>
          <w:p w14:paraId="38BA72E8" w14:textId="316F5395" w:rsidR="00180561" w:rsidRPr="000B7267" w:rsidRDefault="00180561" w:rsidP="000B7267">
            <w:pPr>
              <w:pStyle w:val="Akapitzlist"/>
              <w:spacing w:line="276" w:lineRule="auto"/>
              <w:ind w:left="0"/>
              <w:rPr>
                <w:rFonts w:asciiTheme="minorHAnsi" w:hAnsiTheme="minorHAnsi" w:cstheme="minorHAnsi"/>
              </w:rPr>
            </w:pPr>
            <w:r w:rsidRPr="000B7267">
              <w:rPr>
                <w:rFonts w:asciiTheme="minorHAnsi" w:hAnsiTheme="minorHAnsi" w:cstheme="minorHAnsi"/>
              </w:rPr>
              <w:t>N</w:t>
            </w:r>
            <w:r w:rsidR="00D76FE4" w:rsidRPr="000B7267">
              <w:rPr>
                <w:rFonts w:asciiTheme="minorHAnsi" w:hAnsiTheme="minorHAnsi" w:cstheme="minorHAnsi"/>
              </w:rPr>
              <w:t>IE</w:t>
            </w:r>
          </w:p>
        </w:tc>
      </w:tr>
      <w:tr w:rsidR="00180561" w:rsidRPr="000B7267" w14:paraId="6305FB8E" w14:textId="77777777" w:rsidTr="00CE1A7A">
        <w:tc>
          <w:tcPr>
            <w:tcW w:w="568" w:type="dxa"/>
            <w:vAlign w:val="center"/>
          </w:tcPr>
          <w:p w14:paraId="266B3D50" w14:textId="3DB86C71" w:rsidR="00180561" w:rsidRPr="000B7267" w:rsidRDefault="00180561" w:rsidP="000B7267">
            <w:pPr>
              <w:pStyle w:val="Akapitzlist"/>
              <w:spacing w:line="276" w:lineRule="auto"/>
              <w:ind w:left="0"/>
              <w:rPr>
                <w:rFonts w:asciiTheme="minorHAnsi" w:hAnsiTheme="minorHAnsi" w:cstheme="minorHAnsi"/>
              </w:rPr>
            </w:pPr>
            <w:r w:rsidRPr="000B7267">
              <w:rPr>
                <w:rFonts w:asciiTheme="minorHAnsi" w:hAnsiTheme="minorHAnsi" w:cstheme="minorHAnsi"/>
              </w:rPr>
              <w:lastRenderedPageBreak/>
              <w:t>9.</w:t>
            </w:r>
          </w:p>
        </w:tc>
        <w:tc>
          <w:tcPr>
            <w:tcW w:w="5103" w:type="dxa"/>
            <w:vAlign w:val="center"/>
          </w:tcPr>
          <w:p w14:paraId="7B1BFD20" w14:textId="33744A57" w:rsidR="00180561" w:rsidRPr="000B7267" w:rsidRDefault="009B2951" w:rsidP="000B7267">
            <w:pPr>
              <w:spacing w:after="200" w:line="276" w:lineRule="auto"/>
              <w:rPr>
                <w:rFonts w:cstheme="minorHAnsi"/>
                <w:sz w:val="24"/>
                <w:szCs w:val="24"/>
              </w:rPr>
            </w:pPr>
            <w:r w:rsidRPr="000B7267">
              <w:rPr>
                <w:rFonts w:cstheme="minorHAnsi"/>
                <w:sz w:val="24"/>
                <w:szCs w:val="24"/>
              </w:rPr>
              <w:t xml:space="preserve">Liczba podmiotów wchodzących w skład projektu partnerskiego nie przekracza </w:t>
            </w:r>
            <w:r w:rsidRPr="000B7267">
              <w:rPr>
                <w:rFonts w:cstheme="minorHAnsi"/>
                <w:b/>
                <w:bCs/>
                <w:sz w:val="24"/>
                <w:szCs w:val="24"/>
              </w:rPr>
              <w:t>5</w:t>
            </w:r>
            <w:r w:rsidRPr="000B7267">
              <w:rPr>
                <w:rFonts w:cstheme="minorHAnsi"/>
                <w:sz w:val="24"/>
                <w:szCs w:val="24"/>
              </w:rPr>
              <w:t xml:space="preserve"> podmiotów (wnioskodawca i maksymalnie 4 partnerów).</w:t>
            </w:r>
          </w:p>
        </w:tc>
        <w:tc>
          <w:tcPr>
            <w:tcW w:w="7088" w:type="dxa"/>
            <w:vAlign w:val="center"/>
          </w:tcPr>
          <w:p w14:paraId="6AB37EBF" w14:textId="77777777" w:rsidR="009B2951" w:rsidRPr="000B7267" w:rsidRDefault="009B2951" w:rsidP="000B7267">
            <w:pPr>
              <w:spacing w:before="60" w:line="276" w:lineRule="auto"/>
              <w:ind w:left="29"/>
              <w:rPr>
                <w:rFonts w:cstheme="minorHAnsi"/>
                <w:sz w:val="24"/>
                <w:szCs w:val="24"/>
              </w:rPr>
            </w:pPr>
            <w:r w:rsidRPr="000B7267">
              <w:rPr>
                <w:rFonts w:cstheme="minorHAnsi"/>
                <w:sz w:val="24"/>
                <w:szCs w:val="24"/>
              </w:rPr>
              <w:t>Wymóg ten ma na celu sprawną realizację projektu. Zbyt duża liczba podmiotów może powodować utrudnienia związane z zarządzaniem i organizacją prac w ramach projektu.</w:t>
            </w:r>
          </w:p>
          <w:p w14:paraId="2F1C45EE" w14:textId="44ECEB9A" w:rsidR="00180561" w:rsidRPr="000B7267" w:rsidRDefault="009B2951" w:rsidP="000B7267">
            <w:pPr>
              <w:spacing w:after="200" w:line="276" w:lineRule="auto"/>
              <w:rPr>
                <w:rFonts w:cstheme="minorHAnsi"/>
                <w:sz w:val="24"/>
                <w:szCs w:val="24"/>
              </w:rPr>
            </w:pPr>
            <w:r w:rsidRPr="000B7267">
              <w:rPr>
                <w:rFonts w:cstheme="minorHAnsi"/>
                <w:sz w:val="24"/>
                <w:szCs w:val="24"/>
              </w:rPr>
              <w:t>Kryterium będzie oceniane na podstawie treści wniosku o dofinansowanie projektu.</w:t>
            </w:r>
          </w:p>
          <w:p w14:paraId="7BCAB75F" w14:textId="18D499C8" w:rsidR="009B2951" w:rsidRPr="000B7267" w:rsidRDefault="009B2951" w:rsidP="000B7267">
            <w:pPr>
              <w:spacing w:line="276" w:lineRule="auto"/>
              <w:rPr>
                <w:rFonts w:cstheme="minorHAnsi"/>
                <w:sz w:val="24"/>
                <w:szCs w:val="24"/>
              </w:rPr>
            </w:pPr>
          </w:p>
        </w:tc>
        <w:tc>
          <w:tcPr>
            <w:tcW w:w="1984" w:type="dxa"/>
            <w:vAlign w:val="center"/>
          </w:tcPr>
          <w:p w14:paraId="2AE9B65E" w14:textId="1102CF61" w:rsidR="00180561" w:rsidRPr="000B7267" w:rsidRDefault="00180561" w:rsidP="000B7267">
            <w:pPr>
              <w:pStyle w:val="Akapitzlist"/>
              <w:spacing w:line="276" w:lineRule="auto"/>
              <w:ind w:left="0"/>
              <w:rPr>
                <w:rFonts w:asciiTheme="minorHAnsi" w:hAnsiTheme="minorHAnsi" w:cstheme="minorHAnsi"/>
              </w:rPr>
            </w:pPr>
            <w:r w:rsidRPr="000B7267">
              <w:rPr>
                <w:rFonts w:asciiTheme="minorHAnsi" w:hAnsiTheme="minorHAnsi" w:cstheme="minorHAnsi"/>
              </w:rPr>
              <w:t>N</w:t>
            </w:r>
            <w:r w:rsidR="00D76FE4" w:rsidRPr="000B7267">
              <w:rPr>
                <w:rFonts w:asciiTheme="minorHAnsi" w:hAnsiTheme="minorHAnsi" w:cstheme="minorHAnsi"/>
              </w:rPr>
              <w:t>IE</w:t>
            </w:r>
          </w:p>
        </w:tc>
      </w:tr>
      <w:tr w:rsidR="00180561" w:rsidRPr="000B7267" w14:paraId="61DD87BA" w14:textId="77777777" w:rsidTr="00CE1A7A">
        <w:tc>
          <w:tcPr>
            <w:tcW w:w="568" w:type="dxa"/>
            <w:vAlign w:val="center"/>
          </w:tcPr>
          <w:p w14:paraId="1737B302" w14:textId="46AFBB67" w:rsidR="00180561" w:rsidRPr="000B7267" w:rsidRDefault="00180561" w:rsidP="000B7267">
            <w:pPr>
              <w:pStyle w:val="Akapitzlist"/>
              <w:spacing w:line="276" w:lineRule="auto"/>
              <w:ind w:left="0"/>
              <w:rPr>
                <w:rFonts w:asciiTheme="minorHAnsi" w:hAnsiTheme="minorHAnsi" w:cstheme="minorHAnsi"/>
              </w:rPr>
            </w:pPr>
            <w:r w:rsidRPr="000B7267">
              <w:rPr>
                <w:rFonts w:asciiTheme="minorHAnsi" w:hAnsiTheme="minorHAnsi" w:cstheme="minorHAnsi"/>
              </w:rPr>
              <w:t>10.</w:t>
            </w:r>
          </w:p>
        </w:tc>
        <w:tc>
          <w:tcPr>
            <w:tcW w:w="5103" w:type="dxa"/>
            <w:vAlign w:val="center"/>
          </w:tcPr>
          <w:p w14:paraId="4EDB0A33" w14:textId="55E8D540" w:rsidR="00180561" w:rsidRPr="000B7267" w:rsidRDefault="009B2951" w:rsidP="000B7267">
            <w:pPr>
              <w:spacing w:after="200" w:line="276" w:lineRule="auto"/>
              <w:rPr>
                <w:rFonts w:cstheme="minorHAnsi"/>
                <w:sz w:val="24"/>
                <w:szCs w:val="24"/>
              </w:rPr>
            </w:pPr>
            <w:r w:rsidRPr="000B7267">
              <w:rPr>
                <w:rFonts w:cstheme="minorHAnsi"/>
                <w:sz w:val="24"/>
                <w:szCs w:val="24"/>
              </w:rPr>
              <w:t>Wnioskodawca lub partner  w okresie 5 lat przed terminem złożenia wniosku o dofinansowanie zrealizował lub realizuje co najmniej jeden projekt finansowany ze środków publicznych, w ramach którego udzielił wsparcia polegającego na udzieleniu pomocy de minimis 100 przedsiębiorstwom.</w:t>
            </w:r>
          </w:p>
        </w:tc>
        <w:tc>
          <w:tcPr>
            <w:tcW w:w="7088" w:type="dxa"/>
            <w:vAlign w:val="center"/>
          </w:tcPr>
          <w:p w14:paraId="1D48BFCA" w14:textId="77777777" w:rsidR="009B2951" w:rsidRPr="000B7267" w:rsidRDefault="009B2951" w:rsidP="000B7267">
            <w:pPr>
              <w:spacing w:before="60" w:line="276" w:lineRule="auto"/>
              <w:ind w:left="29"/>
              <w:rPr>
                <w:rFonts w:cstheme="minorHAnsi"/>
                <w:sz w:val="24"/>
                <w:szCs w:val="24"/>
              </w:rPr>
            </w:pPr>
            <w:r w:rsidRPr="000B7267">
              <w:rPr>
                <w:rFonts w:cstheme="minorHAnsi"/>
                <w:sz w:val="24"/>
                <w:szCs w:val="24"/>
              </w:rPr>
              <w:t>Kryterium to zagwarantuje wybór podmiotu, który posiada doświadczenie w zarządzaniu projektami, w tym znajomość zasad dotyczących udzielania przedsiębiorcom pomocy de minimis.</w:t>
            </w:r>
          </w:p>
          <w:p w14:paraId="0AF27AA8" w14:textId="77777777" w:rsidR="009B2951" w:rsidRPr="000B7267" w:rsidRDefault="009B2951" w:rsidP="000B7267">
            <w:pPr>
              <w:spacing w:before="60" w:line="276" w:lineRule="auto"/>
              <w:ind w:left="29"/>
              <w:rPr>
                <w:rFonts w:cstheme="minorHAnsi"/>
                <w:sz w:val="24"/>
                <w:szCs w:val="24"/>
              </w:rPr>
            </w:pPr>
            <w:r w:rsidRPr="000B7267">
              <w:rPr>
                <w:rFonts w:cstheme="minorHAnsi"/>
                <w:sz w:val="24"/>
                <w:szCs w:val="24"/>
              </w:rPr>
              <w:t>Przez projekt należy rozumieć przedsięwzięcie o charakterze jednorazowym składające się z zestawu powiązanych ze sobą zadań, podejmowane dla osiągnięcia z góry określonych celów, posiadające określony budżet.</w:t>
            </w:r>
          </w:p>
          <w:p w14:paraId="13584372" w14:textId="77777777" w:rsidR="009B2951" w:rsidRPr="000B7267" w:rsidRDefault="009B2951" w:rsidP="000B7267">
            <w:pPr>
              <w:spacing w:before="60" w:line="276" w:lineRule="auto"/>
              <w:ind w:left="29"/>
              <w:rPr>
                <w:rFonts w:cstheme="minorHAnsi"/>
                <w:sz w:val="24"/>
                <w:szCs w:val="24"/>
              </w:rPr>
            </w:pPr>
            <w:r w:rsidRPr="000B7267">
              <w:rPr>
                <w:rFonts w:cstheme="minorHAnsi"/>
                <w:sz w:val="24"/>
                <w:szCs w:val="24"/>
              </w:rPr>
              <w:t>Przez udzielanie pomocy de minimis rozumie się:</w:t>
            </w:r>
          </w:p>
          <w:p w14:paraId="3C2019AC" w14:textId="77777777" w:rsidR="009B2951" w:rsidRPr="000B7267" w:rsidRDefault="009B2951" w:rsidP="000B7267">
            <w:pPr>
              <w:spacing w:before="60" w:line="276" w:lineRule="auto"/>
              <w:ind w:left="29"/>
              <w:rPr>
                <w:rFonts w:cstheme="minorHAnsi"/>
                <w:sz w:val="24"/>
                <w:szCs w:val="24"/>
              </w:rPr>
            </w:pPr>
            <w:r w:rsidRPr="000B7267">
              <w:rPr>
                <w:rFonts w:cstheme="minorHAnsi"/>
                <w:sz w:val="24"/>
                <w:szCs w:val="24"/>
              </w:rPr>
              <w:t>a)</w:t>
            </w:r>
            <w:r w:rsidRPr="000B7267">
              <w:rPr>
                <w:rFonts w:cstheme="minorHAnsi"/>
                <w:sz w:val="24"/>
                <w:szCs w:val="24"/>
              </w:rPr>
              <w:tab/>
              <w:t>bycie stroną umów, która udzielała w/w pomocy w ich ramach oraz podmiotem udzielającym pomocy, wskazywanym w zaświadczeniach o udzielanej pomocy de minimis, wystawianych w związku z jej udzieleniem lub</w:t>
            </w:r>
          </w:p>
          <w:p w14:paraId="3685AA3C" w14:textId="77777777" w:rsidR="009B2951" w:rsidRPr="000B7267" w:rsidRDefault="009B2951" w:rsidP="000B7267">
            <w:pPr>
              <w:spacing w:before="60" w:line="276" w:lineRule="auto"/>
              <w:ind w:left="29"/>
              <w:rPr>
                <w:rFonts w:cstheme="minorHAnsi"/>
                <w:sz w:val="24"/>
                <w:szCs w:val="24"/>
              </w:rPr>
            </w:pPr>
            <w:r w:rsidRPr="000B7267">
              <w:rPr>
                <w:rFonts w:cstheme="minorHAnsi"/>
                <w:sz w:val="24"/>
                <w:szCs w:val="24"/>
              </w:rPr>
              <w:lastRenderedPageBreak/>
              <w:t>b)</w:t>
            </w:r>
            <w:r w:rsidRPr="000B7267">
              <w:rPr>
                <w:rFonts w:cstheme="minorHAnsi"/>
                <w:sz w:val="24"/>
                <w:szCs w:val="24"/>
              </w:rPr>
              <w:tab/>
              <w:t>wykonywanie czynności związanych z zawieraniem umów o udzielenie pomocy de minimis oraz wystawianiem stosownych zaświadczeń.</w:t>
            </w:r>
          </w:p>
          <w:p w14:paraId="40E095F7" w14:textId="77777777" w:rsidR="009B2951" w:rsidRPr="000B7267" w:rsidRDefault="009B2951" w:rsidP="000B7267">
            <w:pPr>
              <w:spacing w:before="60" w:line="276" w:lineRule="auto"/>
              <w:ind w:left="29"/>
              <w:rPr>
                <w:rFonts w:cstheme="minorHAnsi"/>
                <w:sz w:val="24"/>
                <w:szCs w:val="24"/>
              </w:rPr>
            </w:pPr>
            <w:r w:rsidRPr="000B7267">
              <w:rPr>
                <w:rFonts w:cstheme="minorHAnsi"/>
                <w:sz w:val="24"/>
                <w:szCs w:val="24"/>
              </w:rPr>
              <w:t>Kryterium będzie oceniane na podstawie treści wniosku o dofinansowanie projektu oraz dokumentów potwierdzających informacje, o których mowa w kryterium (np. referencji, kopii sprawozdania końcowego lub końcowego wniosku o płatność – dopuszcza się możliwość złożenia niezatwierdzonego sprawozdania/wniosku).</w:t>
            </w:r>
          </w:p>
          <w:p w14:paraId="02E5FA3A" w14:textId="77777777" w:rsidR="009B2951" w:rsidRPr="000B7267" w:rsidRDefault="009B2951" w:rsidP="000B7267">
            <w:pPr>
              <w:spacing w:before="60" w:line="276" w:lineRule="auto"/>
              <w:ind w:left="29"/>
              <w:rPr>
                <w:rFonts w:cstheme="minorHAnsi"/>
                <w:sz w:val="24"/>
                <w:szCs w:val="24"/>
              </w:rPr>
            </w:pPr>
            <w:r w:rsidRPr="000B7267">
              <w:rPr>
                <w:rFonts w:cstheme="minorHAnsi"/>
                <w:sz w:val="24"/>
                <w:szCs w:val="24"/>
              </w:rPr>
              <w:t>W przypadku projektów niezakończonych należy przedstawić zaakceptowaną przez instytucję rozliczającą dokumentację potwierdzającą informacje, o których mowa w kryterium.</w:t>
            </w:r>
          </w:p>
          <w:p w14:paraId="55B86007" w14:textId="520B4A47" w:rsidR="00180561" w:rsidRPr="000B7267" w:rsidRDefault="009B2951" w:rsidP="000B7267">
            <w:pPr>
              <w:spacing w:after="200" w:line="276" w:lineRule="auto"/>
              <w:rPr>
                <w:rFonts w:cstheme="minorHAnsi"/>
                <w:sz w:val="24"/>
                <w:szCs w:val="24"/>
              </w:rPr>
            </w:pPr>
            <w:r w:rsidRPr="000B7267">
              <w:rPr>
                <w:rFonts w:cstheme="minorHAnsi"/>
                <w:sz w:val="24"/>
                <w:szCs w:val="24"/>
              </w:rPr>
              <w:t>UWAGA: w przypadku projektów realizowanych w ramach PO WER, dla których PARP była/jest IP, nie jest wymagane załączanie dokumentów potwierdzających informacje, o którym mowa w kryterium.</w:t>
            </w:r>
          </w:p>
          <w:p w14:paraId="44232264" w14:textId="1B9F9F8B" w:rsidR="009B2951" w:rsidRPr="000B7267" w:rsidRDefault="009B2951" w:rsidP="000B7267">
            <w:pPr>
              <w:spacing w:line="276" w:lineRule="auto"/>
              <w:rPr>
                <w:rFonts w:cstheme="minorHAnsi"/>
                <w:sz w:val="24"/>
                <w:szCs w:val="24"/>
              </w:rPr>
            </w:pPr>
          </w:p>
        </w:tc>
        <w:tc>
          <w:tcPr>
            <w:tcW w:w="1984" w:type="dxa"/>
            <w:vAlign w:val="center"/>
          </w:tcPr>
          <w:p w14:paraId="12EB2455" w14:textId="0034E749" w:rsidR="00180561" w:rsidRPr="000B7267" w:rsidRDefault="009B2951" w:rsidP="000B7267">
            <w:pPr>
              <w:pStyle w:val="Akapitzlist"/>
              <w:spacing w:line="276" w:lineRule="auto"/>
              <w:ind w:left="0"/>
              <w:rPr>
                <w:rFonts w:asciiTheme="minorHAnsi" w:hAnsiTheme="minorHAnsi" w:cstheme="minorHAnsi"/>
              </w:rPr>
            </w:pPr>
            <w:r w:rsidRPr="000B7267">
              <w:rPr>
                <w:rFonts w:asciiTheme="minorHAnsi" w:hAnsiTheme="minorHAnsi" w:cstheme="minorHAnsi"/>
              </w:rPr>
              <w:lastRenderedPageBreak/>
              <w:t>TAK</w:t>
            </w:r>
          </w:p>
        </w:tc>
      </w:tr>
      <w:tr w:rsidR="00180561" w:rsidRPr="000B7267" w14:paraId="5F36C248" w14:textId="77777777" w:rsidTr="00CE1A7A">
        <w:tc>
          <w:tcPr>
            <w:tcW w:w="568" w:type="dxa"/>
            <w:vAlign w:val="center"/>
          </w:tcPr>
          <w:p w14:paraId="6F76140A" w14:textId="30282BCD" w:rsidR="00180561" w:rsidRPr="000B7267" w:rsidRDefault="00180561" w:rsidP="000B7267">
            <w:pPr>
              <w:pStyle w:val="Akapitzlist"/>
              <w:spacing w:line="276" w:lineRule="auto"/>
              <w:ind w:left="0"/>
              <w:rPr>
                <w:rFonts w:asciiTheme="minorHAnsi" w:hAnsiTheme="minorHAnsi" w:cstheme="minorHAnsi"/>
              </w:rPr>
            </w:pPr>
            <w:r w:rsidRPr="000B7267">
              <w:rPr>
                <w:rFonts w:asciiTheme="minorHAnsi" w:hAnsiTheme="minorHAnsi" w:cstheme="minorHAnsi"/>
              </w:rPr>
              <w:lastRenderedPageBreak/>
              <w:t>11.</w:t>
            </w:r>
          </w:p>
        </w:tc>
        <w:tc>
          <w:tcPr>
            <w:tcW w:w="5103" w:type="dxa"/>
            <w:vAlign w:val="center"/>
          </w:tcPr>
          <w:p w14:paraId="1FEBAC16" w14:textId="57EAFA76" w:rsidR="00180561" w:rsidRPr="000B7267" w:rsidRDefault="00C45E6E" w:rsidP="000B7267">
            <w:pPr>
              <w:spacing w:after="200" w:line="276" w:lineRule="auto"/>
              <w:rPr>
                <w:rFonts w:cstheme="minorHAnsi"/>
                <w:sz w:val="24"/>
                <w:szCs w:val="24"/>
              </w:rPr>
            </w:pPr>
            <w:r w:rsidRPr="000B7267">
              <w:rPr>
                <w:rFonts w:cstheme="minorHAnsi"/>
                <w:sz w:val="24"/>
                <w:szCs w:val="24"/>
              </w:rPr>
              <w:t>Wnioskodawca lub partner (jeśli występuje) dysponuje systemem informatycznym wspierającym realizację projektu.</w:t>
            </w:r>
          </w:p>
        </w:tc>
        <w:tc>
          <w:tcPr>
            <w:tcW w:w="7088" w:type="dxa"/>
            <w:vAlign w:val="center"/>
          </w:tcPr>
          <w:p w14:paraId="2F358390" w14:textId="074DD747" w:rsidR="00180561" w:rsidRPr="000B7267" w:rsidRDefault="00C45E6E" w:rsidP="000B7267">
            <w:pPr>
              <w:spacing w:after="200" w:line="276" w:lineRule="auto"/>
              <w:rPr>
                <w:rFonts w:cstheme="minorHAnsi"/>
                <w:sz w:val="24"/>
                <w:szCs w:val="24"/>
              </w:rPr>
            </w:pPr>
            <w:r w:rsidRPr="000B7267">
              <w:rPr>
                <w:rFonts w:cstheme="minorHAnsi"/>
                <w:sz w:val="24"/>
                <w:szCs w:val="24"/>
              </w:rPr>
              <w:t>Kryterium zostanie uznane za spełnione, jeżeli wnioskodawca lub partner (jeśli występuje) na etapie składania wniosku potwierdzi, że na dzień rozpoczęcia realizacji projektu będzie dysponował funkcjonującym systemem informatycznym, który zapewni w ramach projektu elektroniczne składanie dokumentów przez odbiorców wsparcia, ich weryfikację, obsługę procesu podpisywania umów o udzielenie wsparcia oraz ich rozliczenie.</w:t>
            </w:r>
          </w:p>
        </w:tc>
        <w:tc>
          <w:tcPr>
            <w:tcW w:w="1984" w:type="dxa"/>
            <w:vAlign w:val="center"/>
          </w:tcPr>
          <w:p w14:paraId="3304EE4D" w14:textId="50E7DAC9" w:rsidR="00180561" w:rsidRPr="000B7267" w:rsidRDefault="00C45E6E" w:rsidP="000B7267">
            <w:pPr>
              <w:pStyle w:val="Akapitzlist"/>
              <w:spacing w:line="276" w:lineRule="auto"/>
              <w:ind w:left="0"/>
              <w:rPr>
                <w:rFonts w:asciiTheme="minorHAnsi" w:hAnsiTheme="minorHAnsi" w:cstheme="minorHAnsi"/>
              </w:rPr>
            </w:pPr>
            <w:r w:rsidRPr="000B7267">
              <w:rPr>
                <w:rFonts w:asciiTheme="minorHAnsi" w:hAnsiTheme="minorHAnsi" w:cstheme="minorHAnsi"/>
              </w:rPr>
              <w:t>TAK</w:t>
            </w:r>
          </w:p>
        </w:tc>
      </w:tr>
    </w:tbl>
    <w:p w14:paraId="567609A6" w14:textId="54A3E55E" w:rsidR="000B7267" w:rsidRDefault="000B7267" w:rsidP="000B7267">
      <w:pPr>
        <w:spacing w:before="480"/>
        <w:rPr>
          <w:rFonts w:cstheme="minorHAnsi"/>
          <w:b/>
          <w:color w:val="000000" w:themeColor="text1"/>
        </w:rPr>
      </w:pPr>
    </w:p>
    <w:p w14:paraId="2EA33C7D" w14:textId="2654B7B0" w:rsidR="000B7267" w:rsidRDefault="000B7267" w:rsidP="000B7267">
      <w:pPr>
        <w:pStyle w:val="Nagwek2"/>
        <w:numPr>
          <w:ilvl w:val="0"/>
          <w:numId w:val="20"/>
        </w:numPr>
        <w:spacing w:before="120" w:after="120"/>
        <w:ind w:left="714" w:hanging="357"/>
        <w:rPr>
          <w:rFonts w:asciiTheme="minorHAnsi" w:hAnsiTheme="minorHAnsi" w:cstheme="minorHAnsi"/>
          <w:b/>
          <w:color w:val="auto"/>
          <w:sz w:val="28"/>
          <w:szCs w:val="28"/>
        </w:rPr>
      </w:pPr>
      <w:r w:rsidRPr="000B7267">
        <w:rPr>
          <w:rFonts w:asciiTheme="minorHAnsi" w:hAnsiTheme="minorHAnsi" w:cstheme="minorHAnsi"/>
          <w:b/>
          <w:color w:val="auto"/>
          <w:sz w:val="28"/>
          <w:szCs w:val="28"/>
        </w:rPr>
        <w:t>Kryteria premiujące weryfikowane na etapie oceny merytorycznej</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4961"/>
        <w:gridCol w:w="7371"/>
        <w:gridCol w:w="1985"/>
      </w:tblGrid>
      <w:tr w:rsidR="000B7267" w14:paraId="165AEA6E" w14:textId="623F2C3F" w:rsidTr="000B7267">
        <w:tblPrEx>
          <w:tblCellMar>
            <w:top w:w="0" w:type="dxa"/>
            <w:bottom w:w="0" w:type="dxa"/>
          </w:tblCellMar>
        </w:tblPrEx>
        <w:trPr>
          <w:trHeight w:val="447"/>
          <w:tblHeader/>
        </w:trPr>
        <w:tc>
          <w:tcPr>
            <w:tcW w:w="709" w:type="dxa"/>
            <w:shd w:val="clear" w:color="auto" w:fill="C6D9F1" w:themeFill="text2" w:themeFillTint="33"/>
            <w:vAlign w:val="center"/>
          </w:tcPr>
          <w:p w14:paraId="255A5AD2" w14:textId="2A6E23A5" w:rsidR="000B7267" w:rsidRDefault="000B7267" w:rsidP="000B7267">
            <w:r w:rsidRPr="000B7267">
              <w:rPr>
                <w:rFonts w:cstheme="minorHAnsi"/>
                <w:b/>
                <w:i/>
                <w:shd w:val="clear" w:color="auto" w:fill="C6D9F1" w:themeFill="text2" w:themeFillTint="33"/>
              </w:rPr>
              <w:t>Lp</w:t>
            </w:r>
            <w:r w:rsidRPr="000B7267">
              <w:rPr>
                <w:rFonts w:cstheme="minorHAnsi"/>
                <w:b/>
                <w:i/>
              </w:rPr>
              <w:t>.</w:t>
            </w:r>
          </w:p>
        </w:tc>
        <w:tc>
          <w:tcPr>
            <w:tcW w:w="4961" w:type="dxa"/>
            <w:shd w:val="clear" w:color="auto" w:fill="C6D9F1" w:themeFill="text2" w:themeFillTint="33"/>
            <w:vAlign w:val="center"/>
          </w:tcPr>
          <w:p w14:paraId="26D3F22F" w14:textId="5E5A3DE4" w:rsidR="000B7267" w:rsidRDefault="000B7267" w:rsidP="000B7267">
            <w:r w:rsidRPr="000B7267">
              <w:rPr>
                <w:rFonts w:cstheme="minorHAnsi"/>
                <w:b/>
                <w:i/>
                <w:sz w:val="24"/>
                <w:szCs w:val="24"/>
              </w:rPr>
              <w:t>Kryterium</w:t>
            </w:r>
          </w:p>
        </w:tc>
        <w:tc>
          <w:tcPr>
            <w:tcW w:w="7371" w:type="dxa"/>
            <w:shd w:val="clear" w:color="auto" w:fill="C6D9F1" w:themeFill="text2" w:themeFillTint="33"/>
            <w:vAlign w:val="center"/>
          </w:tcPr>
          <w:p w14:paraId="47054292" w14:textId="77777777" w:rsidR="000B7267" w:rsidRPr="000B7267" w:rsidRDefault="000B7267" w:rsidP="000B7267">
            <w:pPr>
              <w:pStyle w:val="Akapitzlist"/>
              <w:spacing w:line="276" w:lineRule="auto"/>
              <w:ind w:left="0"/>
              <w:rPr>
                <w:rFonts w:asciiTheme="minorHAnsi" w:hAnsiTheme="minorHAnsi" w:cstheme="minorHAnsi"/>
                <w:b/>
                <w:i/>
              </w:rPr>
            </w:pPr>
            <w:r w:rsidRPr="000B7267">
              <w:rPr>
                <w:rFonts w:asciiTheme="minorHAnsi" w:hAnsiTheme="minorHAnsi" w:cstheme="minorHAnsi"/>
                <w:b/>
                <w:i/>
              </w:rPr>
              <w:t>- Uzasadnienie kryterium;</w:t>
            </w:r>
          </w:p>
          <w:p w14:paraId="1B5A194E" w14:textId="2FD7C6B6" w:rsidR="000B7267" w:rsidRDefault="000B7267" w:rsidP="000B7267">
            <w:r w:rsidRPr="000B7267">
              <w:rPr>
                <w:rFonts w:cstheme="minorHAnsi"/>
                <w:b/>
                <w:i/>
              </w:rPr>
              <w:t>- Sposób oceny kryterium;</w:t>
            </w:r>
          </w:p>
        </w:tc>
        <w:tc>
          <w:tcPr>
            <w:tcW w:w="1985" w:type="dxa"/>
            <w:shd w:val="clear" w:color="auto" w:fill="C6D9F1" w:themeFill="text2" w:themeFillTint="33"/>
            <w:vAlign w:val="center"/>
          </w:tcPr>
          <w:p w14:paraId="2C915F3B" w14:textId="03EF0EA2" w:rsidR="000B7267" w:rsidRDefault="000B7267" w:rsidP="000B7267">
            <w:r w:rsidRPr="000B7267">
              <w:rPr>
                <w:rFonts w:cstheme="minorHAnsi"/>
                <w:b/>
                <w:i/>
                <w:color w:val="000000" w:themeColor="text1"/>
              </w:rPr>
              <w:t>Liczba punktów premiujących</w:t>
            </w:r>
          </w:p>
        </w:tc>
      </w:tr>
      <w:tr w:rsidR="000B7267" w14:paraId="4AF558C0" w14:textId="6EEAFA33" w:rsidTr="000B7267">
        <w:tblPrEx>
          <w:tblCellMar>
            <w:top w:w="0" w:type="dxa"/>
            <w:bottom w:w="0" w:type="dxa"/>
          </w:tblCellMar>
        </w:tblPrEx>
        <w:trPr>
          <w:trHeight w:val="943"/>
        </w:trPr>
        <w:tc>
          <w:tcPr>
            <w:tcW w:w="709" w:type="dxa"/>
            <w:vAlign w:val="center"/>
          </w:tcPr>
          <w:p w14:paraId="70821F3D" w14:textId="1C387C61" w:rsidR="000B7267" w:rsidRDefault="000B7267" w:rsidP="000B7267">
            <w:r w:rsidRPr="000B7267">
              <w:rPr>
                <w:rFonts w:cstheme="minorHAnsi"/>
              </w:rPr>
              <w:t>1.</w:t>
            </w:r>
          </w:p>
        </w:tc>
        <w:tc>
          <w:tcPr>
            <w:tcW w:w="4961" w:type="dxa"/>
            <w:vAlign w:val="center"/>
          </w:tcPr>
          <w:p w14:paraId="3F900D67" w14:textId="3E085108" w:rsidR="000B7267" w:rsidRDefault="000B7267" w:rsidP="000B7267">
            <w:r w:rsidRPr="000B7267">
              <w:rPr>
                <w:rFonts w:cstheme="minorHAnsi"/>
                <w:sz w:val="24"/>
                <w:szCs w:val="24"/>
              </w:rPr>
              <w:t>Wnioskodawca zapewni, że do realizacji projektu zostanie zatrudniona osoba  z niepełnosprawnością w wymiarze co najmniej ½ etatu przez co najmniej połowę okresu realizacji projektu.</w:t>
            </w:r>
          </w:p>
        </w:tc>
        <w:tc>
          <w:tcPr>
            <w:tcW w:w="7371" w:type="dxa"/>
            <w:vAlign w:val="center"/>
          </w:tcPr>
          <w:p w14:paraId="601977CC" w14:textId="77777777" w:rsidR="000B7267" w:rsidRPr="000B7267" w:rsidRDefault="000B7267" w:rsidP="000B7267">
            <w:pPr>
              <w:spacing w:before="120" w:after="120"/>
              <w:ind w:left="57"/>
              <w:rPr>
                <w:rFonts w:cstheme="minorHAnsi"/>
                <w:sz w:val="24"/>
                <w:szCs w:val="24"/>
              </w:rPr>
            </w:pPr>
            <w:r w:rsidRPr="000B7267">
              <w:rPr>
                <w:rFonts w:cstheme="minorHAnsi"/>
                <w:sz w:val="24"/>
                <w:szCs w:val="24"/>
              </w:rPr>
              <w:t>Kryterium ma na celu promowanie zaangażowania osób z niepełnosprawnością w projektach współfinansowanych ze środków UE.</w:t>
            </w:r>
          </w:p>
          <w:p w14:paraId="4C15A96C" w14:textId="77777777" w:rsidR="000B7267" w:rsidRPr="000B7267" w:rsidRDefault="000B7267" w:rsidP="000B7267">
            <w:pPr>
              <w:spacing w:before="120" w:after="120"/>
              <w:ind w:left="57"/>
              <w:rPr>
                <w:rFonts w:cstheme="minorHAnsi"/>
                <w:sz w:val="24"/>
                <w:szCs w:val="24"/>
              </w:rPr>
            </w:pPr>
            <w:r w:rsidRPr="000B7267">
              <w:rPr>
                <w:rFonts w:cstheme="minorHAnsi"/>
                <w:sz w:val="24"/>
                <w:szCs w:val="24"/>
              </w:rPr>
              <w:t>Osoba z niepełnosprawnością to osoba w rozumieniu Wytycznych dotyczących realizacji zasad równościowych w ramach funduszy unijnych na lata 2021-2027.</w:t>
            </w:r>
          </w:p>
          <w:p w14:paraId="761165AE" w14:textId="77777777" w:rsidR="000B7267" w:rsidRPr="000B7267" w:rsidRDefault="000B7267" w:rsidP="000B7267">
            <w:pPr>
              <w:spacing w:before="120" w:after="120"/>
              <w:ind w:left="57"/>
              <w:rPr>
                <w:rFonts w:cstheme="minorHAnsi"/>
                <w:sz w:val="24"/>
                <w:szCs w:val="24"/>
              </w:rPr>
            </w:pPr>
            <w:r w:rsidRPr="000B7267">
              <w:rPr>
                <w:rFonts w:cstheme="minorHAnsi"/>
                <w:sz w:val="24"/>
                <w:szCs w:val="24"/>
              </w:rPr>
              <w:lastRenderedPageBreak/>
              <w:t>Kryterium weryfikowane na podstawie treści złożonego wniosku o dofinansowanie projektu.</w:t>
            </w:r>
          </w:p>
          <w:p w14:paraId="1476AF10" w14:textId="77777777" w:rsidR="000B7267" w:rsidRPr="000B7267" w:rsidRDefault="000B7267" w:rsidP="000B7267">
            <w:pPr>
              <w:spacing w:before="120" w:after="120"/>
              <w:ind w:left="57"/>
              <w:rPr>
                <w:rFonts w:cstheme="minorHAnsi"/>
                <w:sz w:val="24"/>
                <w:szCs w:val="24"/>
              </w:rPr>
            </w:pPr>
            <w:r w:rsidRPr="000B7267">
              <w:rPr>
                <w:rFonts w:cstheme="minorHAnsi"/>
                <w:sz w:val="24"/>
                <w:szCs w:val="24"/>
              </w:rPr>
              <w:t>Koszt wynagrodzenia osoby z niepełnosprawnością może być kwalifikowany zarówno w ramach kosztów pośrednich, jak i bezpośrednich projektu.</w:t>
            </w:r>
          </w:p>
          <w:p w14:paraId="18937FE8" w14:textId="2826AD30" w:rsidR="000B7267" w:rsidRDefault="000B7267" w:rsidP="000B7267">
            <w:r w:rsidRPr="000B7267">
              <w:rPr>
                <w:rFonts w:cstheme="minorHAnsi"/>
                <w:sz w:val="24"/>
                <w:szCs w:val="24"/>
              </w:rPr>
              <w:t>W przypadku kwalifikowania wynagrodzenia w ramach kosztów pośrednich, w celu weryfikacji spełniania kryterium premiującego, na etapie wdrażania projektu IP wezwie Beneficjenta do przedstawienia dokumentów potwierdzających zatrudnienie osoby z niepełnosprawnością, np. umowy o pracę, aneksu do umowy o pracę (np. w związku z oddelegowaniem do pracy w projekcie) oraz orzeczenie o niepełnosprawności.</w:t>
            </w:r>
          </w:p>
        </w:tc>
        <w:tc>
          <w:tcPr>
            <w:tcW w:w="1985" w:type="dxa"/>
            <w:vAlign w:val="center"/>
          </w:tcPr>
          <w:p w14:paraId="478D57B6" w14:textId="6ECEE300" w:rsidR="000B7267" w:rsidRDefault="000B7267" w:rsidP="000B7267">
            <w:r w:rsidRPr="000B7267">
              <w:rPr>
                <w:rFonts w:cstheme="minorHAnsi"/>
                <w:color w:val="000000" w:themeColor="text1"/>
              </w:rPr>
              <w:lastRenderedPageBreak/>
              <w:t>4</w:t>
            </w:r>
          </w:p>
        </w:tc>
      </w:tr>
    </w:tbl>
    <w:p w14:paraId="1B17AC9D" w14:textId="77777777" w:rsidR="000B7267" w:rsidRPr="000B7267" w:rsidRDefault="000B7267" w:rsidP="000B7267"/>
    <w:p w14:paraId="78C3907F" w14:textId="77777777" w:rsidR="000B7267" w:rsidRPr="000B7267" w:rsidRDefault="000B7267" w:rsidP="000B7267">
      <w:pPr>
        <w:spacing w:before="480"/>
        <w:rPr>
          <w:rFonts w:cstheme="minorHAnsi"/>
          <w:b/>
          <w:color w:val="000000" w:themeColor="text1"/>
        </w:rPr>
      </w:pPr>
    </w:p>
    <w:sectPr w:rsidR="000B7267" w:rsidRPr="000B7267" w:rsidSect="000B7267">
      <w:headerReference w:type="default" r:id="rId9"/>
      <w:headerReference w:type="first" r:id="rId10"/>
      <w:pgSz w:w="16838" w:h="11906" w:orient="landscape"/>
      <w:pgMar w:top="2142" w:right="1806" w:bottom="567" w:left="1417" w:header="284" w:footer="4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1396F" w14:textId="77777777" w:rsidR="00FC5FCB" w:rsidRDefault="00FC5FCB" w:rsidP="00F91883">
      <w:pPr>
        <w:spacing w:after="0" w:line="240" w:lineRule="auto"/>
      </w:pPr>
      <w:r>
        <w:separator/>
      </w:r>
    </w:p>
  </w:endnote>
  <w:endnote w:type="continuationSeparator" w:id="0">
    <w:p w14:paraId="30F1A385" w14:textId="77777777" w:rsidR="00FC5FCB" w:rsidRDefault="00FC5FCB" w:rsidP="00F9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6896B" w14:textId="77777777" w:rsidR="00FC5FCB" w:rsidRDefault="00FC5FCB" w:rsidP="00F91883">
      <w:pPr>
        <w:spacing w:after="0" w:line="240" w:lineRule="auto"/>
      </w:pPr>
      <w:r>
        <w:separator/>
      </w:r>
    </w:p>
  </w:footnote>
  <w:footnote w:type="continuationSeparator" w:id="0">
    <w:p w14:paraId="68DD2859" w14:textId="77777777" w:rsidR="00FC5FCB" w:rsidRDefault="00FC5FCB" w:rsidP="00F91883">
      <w:pPr>
        <w:spacing w:after="0" w:line="240" w:lineRule="auto"/>
      </w:pPr>
      <w:r>
        <w:continuationSeparator/>
      </w:r>
    </w:p>
  </w:footnote>
  <w:footnote w:id="1">
    <w:p w14:paraId="4FD81C16" w14:textId="6C8C090A" w:rsidR="0022566C" w:rsidRPr="00210CF1" w:rsidRDefault="0022566C" w:rsidP="000B7267">
      <w:pPr>
        <w:pStyle w:val="Tekstprzypisudolnego"/>
        <w:spacing w:line="276" w:lineRule="auto"/>
        <w:rPr>
          <w:rFonts w:asciiTheme="minorHAnsi" w:hAnsiTheme="minorHAnsi" w:cstheme="minorHAnsi"/>
        </w:rPr>
      </w:pPr>
      <w:r w:rsidRPr="000B7267">
        <w:rPr>
          <w:rStyle w:val="Odwoanieprzypisudolnego"/>
          <w:rFonts w:asciiTheme="minorHAnsi" w:hAnsiTheme="minorHAnsi" w:cstheme="minorHAnsi"/>
          <w:sz w:val="24"/>
        </w:rPr>
        <w:footnoteRef/>
      </w:r>
      <w:r w:rsidRPr="000B7267">
        <w:rPr>
          <w:rFonts w:asciiTheme="minorHAnsi" w:hAnsiTheme="minorHAnsi" w:cstheme="minorHAnsi"/>
          <w:sz w:val="24"/>
        </w:rPr>
        <w:t xml:space="preserve"> </w:t>
      </w:r>
      <w:r w:rsidR="00A01867" w:rsidRPr="000B7267">
        <w:rPr>
          <w:rFonts w:asciiTheme="minorHAnsi" w:hAnsiTheme="minorHAnsi" w:cstheme="minorHAnsi"/>
          <w:sz w:val="24"/>
        </w:rPr>
        <w:t>Treść</w:t>
      </w:r>
      <w:r w:rsidRPr="000B7267">
        <w:rPr>
          <w:rFonts w:asciiTheme="minorHAnsi" w:hAnsiTheme="minorHAnsi" w:cstheme="minorHAnsi"/>
          <w:sz w:val="24"/>
        </w:rPr>
        <w:t xml:space="preserve"> wniosku o dofinansowanie w części dotyczącej spełniania kryterium może być uzupełniana lub pop</w:t>
      </w:r>
      <w:r w:rsidR="00C43341" w:rsidRPr="000B7267">
        <w:rPr>
          <w:rFonts w:asciiTheme="minorHAnsi" w:hAnsiTheme="minorHAnsi" w:cstheme="minorHAnsi"/>
          <w:sz w:val="24"/>
        </w:rPr>
        <w:t>rawiana w zakresie określonym w </w:t>
      </w:r>
      <w:r w:rsidRPr="000B7267">
        <w:rPr>
          <w:rFonts w:asciiTheme="minorHAnsi" w:hAnsiTheme="minorHAnsi" w:cstheme="minorHAnsi"/>
          <w:sz w:val="24"/>
        </w:rPr>
        <w:t xml:space="preserve">regulaminie </w:t>
      </w:r>
      <w:r w:rsidR="0064484A" w:rsidRPr="000B7267">
        <w:rPr>
          <w:rFonts w:asciiTheme="minorHAnsi" w:hAnsiTheme="minorHAnsi" w:cstheme="minorHAnsi"/>
          <w:sz w:val="24"/>
        </w:rPr>
        <w:t xml:space="preserve">wyboru projektów </w:t>
      </w:r>
      <w:r w:rsidRPr="000B7267">
        <w:rPr>
          <w:rFonts w:asciiTheme="minorHAnsi" w:hAnsiTheme="minorHAnsi" w:cstheme="minorHAnsi"/>
          <w:sz w:val="24"/>
        </w:rPr>
        <w:t>(</w:t>
      </w:r>
      <w:r w:rsidR="0064484A" w:rsidRPr="000B7267">
        <w:rPr>
          <w:rFonts w:asciiTheme="minorHAnsi" w:hAnsiTheme="minorHAnsi" w:cstheme="minorHAnsi"/>
          <w:sz w:val="24"/>
        </w:rPr>
        <w:t>na podstawie art. 55 ustawy z dnia 28 kwietnia 2022 r. o zasadach realizacji zadań finansowanych ze środków europejskich w perspektywie finansowej 2021-2027</w:t>
      </w:r>
      <w:r w:rsidR="00A01867" w:rsidRPr="000B7267">
        <w:rPr>
          <w:rFonts w:asciiTheme="minorHAnsi" w:hAnsiTheme="minorHAnsi" w:cstheme="minorHAnsi"/>
          <w:sz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734059"/>
      <w:docPartObj>
        <w:docPartGallery w:val="Page Numbers (Top of Page)"/>
        <w:docPartUnique/>
      </w:docPartObj>
    </w:sdtPr>
    <w:sdtEndPr/>
    <w:sdtContent>
      <w:p w14:paraId="1A89D4F0" w14:textId="2FF790FC" w:rsidR="006436B1" w:rsidRDefault="006436B1" w:rsidP="00880D22">
        <w:pPr>
          <w:pStyle w:val="Nagwek"/>
        </w:pPr>
      </w:p>
      <w:p w14:paraId="12531AF2" w14:textId="57F527B6" w:rsidR="007455C6" w:rsidRDefault="000B7267" w:rsidP="00880D22">
        <w:pPr>
          <w:pStyle w:val="Nagwek"/>
          <w:jc w:val="right"/>
        </w:pPr>
        <w:r>
          <w:rPr>
            <w:rFonts w:ascii="Calibri Light" w:eastAsia="Times New Roman" w:hAnsi="Calibri Light" w:cs="Calibri Light"/>
            <w:i/>
            <w:noProof/>
            <w:sz w:val="26"/>
            <w:szCs w:val="26"/>
            <w:lang w:eastAsia="pl-PL"/>
          </w:rPr>
          <w:drawing>
            <wp:inline distT="0" distB="0" distL="0" distR="0" wp14:anchorId="618AEC3C" wp14:editId="4F9E7B01">
              <wp:extent cx="8645525" cy="781050"/>
              <wp:effectExtent l="0" t="0" r="3175" b="0"/>
              <wp:docPr id="2" name="Obraz 2" descr="Logotypy Fundusze Europejskie dla Rozwoju Społecznego, Rzeczypospolita Polska, Dofinansowane przez Unię Eu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Fundusze Europejskie dla Rozwoju Społecznego, Rzeczypospolita Polska, Dofinansowane przez Unię Europejską, PARP Grupa PFR"/>
                      <pic:cNvPicPr/>
                    </pic:nvPicPr>
                    <pic:blipFill>
                      <a:blip r:embed="rId1">
                        <a:extLst>
                          <a:ext uri="{28A0092B-C50C-407E-A947-70E740481C1C}">
                            <a14:useLocalDpi xmlns:a14="http://schemas.microsoft.com/office/drawing/2010/main" val="0"/>
                          </a:ext>
                        </a:extLst>
                      </a:blip>
                      <a:stretch>
                        <a:fillRect/>
                      </a:stretch>
                    </pic:blipFill>
                    <pic:spPr>
                      <a:xfrm>
                        <a:off x="0" y="0"/>
                        <a:ext cx="8645525" cy="781050"/>
                      </a:xfrm>
                      <a:prstGeom prst="rect">
                        <a:avLst/>
                      </a:prstGeom>
                    </pic:spPr>
                  </pic:pic>
                </a:graphicData>
              </a:graphic>
            </wp:inline>
          </w:drawing>
        </w:r>
        <w:r w:rsidR="00127C2A">
          <w:fldChar w:fldCharType="begin"/>
        </w:r>
        <w:r w:rsidR="00127C2A">
          <w:instrText>PAGE   \* MERGEFORMAT</w:instrText>
        </w:r>
        <w:r w:rsidR="00127C2A">
          <w:fldChar w:fldCharType="separate"/>
        </w:r>
        <w:r>
          <w:rPr>
            <w:noProof/>
          </w:rPr>
          <w:t>4</w:t>
        </w:r>
        <w:r w:rsidR="00127C2A">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44F4D" w14:textId="3CB988E3" w:rsidR="000B7267" w:rsidRDefault="000B7267" w:rsidP="000B7267">
    <w:pPr>
      <w:pStyle w:val="Nagwek"/>
      <w:jc w:val="right"/>
    </w:pPr>
    <w:r>
      <w:fldChar w:fldCharType="begin"/>
    </w:r>
    <w:r>
      <w:instrText>PAGE   \* MERGEFORMAT</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CE5"/>
    <w:multiLevelType w:val="hybridMultilevel"/>
    <w:tmpl w:val="114E2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7C2135"/>
    <w:multiLevelType w:val="hybridMultilevel"/>
    <w:tmpl w:val="387C6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126230"/>
    <w:multiLevelType w:val="hybridMultilevel"/>
    <w:tmpl w:val="70701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A71728"/>
    <w:multiLevelType w:val="hybridMultilevel"/>
    <w:tmpl w:val="37506B68"/>
    <w:lvl w:ilvl="0" w:tplc="0415000F">
      <w:start w:val="1"/>
      <w:numFmt w:val="decimal"/>
      <w:lvlText w:val="%1."/>
      <w:lvlJc w:val="left"/>
      <w:pPr>
        <w:ind w:left="777" w:hanging="360"/>
      </w:pPr>
      <w:rPr>
        <w:rFont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4" w15:restartNumberingAfterBreak="0">
    <w:nsid w:val="1C5F151D"/>
    <w:multiLevelType w:val="hybridMultilevel"/>
    <w:tmpl w:val="609254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A95359"/>
    <w:multiLevelType w:val="hybridMultilevel"/>
    <w:tmpl w:val="2BBAF6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896E0F"/>
    <w:multiLevelType w:val="hybridMultilevel"/>
    <w:tmpl w:val="21AA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981163"/>
    <w:multiLevelType w:val="hybridMultilevel"/>
    <w:tmpl w:val="D9AE915C"/>
    <w:lvl w:ilvl="0" w:tplc="04150017">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6933E3"/>
    <w:multiLevelType w:val="hybridMultilevel"/>
    <w:tmpl w:val="567ADA8E"/>
    <w:lvl w:ilvl="0" w:tplc="1ACA0B78">
      <w:start w:val="1"/>
      <w:numFmt w:val="decimal"/>
      <w:lvlText w:val="%1."/>
      <w:lvlJc w:val="left"/>
      <w:pPr>
        <w:ind w:left="720" w:firstLine="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D911FBA"/>
    <w:multiLevelType w:val="hybridMultilevel"/>
    <w:tmpl w:val="AEAEDE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40000EC5"/>
    <w:multiLevelType w:val="hybridMultilevel"/>
    <w:tmpl w:val="FFB4229C"/>
    <w:lvl w:ilvl="0" w:tplc="EA623328">
      <w:numFmt w:val="bullet"/>
      <w:lvlText w:val="•"/>
      <w:lvlJc w:val="left"/>
      <w:pPr>
        <w:ind w:left="1065" w:hanging="705"/>
      </w:pPr>
      <w:rPr>
        <w:rFonts w:ascii="Calibri" w:eastAsia="Calibri"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4D73EA3"/>
    <w:multiLevelType w:val="hybridMultilevel"/>
    <w:tmpl w:val="84D67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60D3582"/>
    <w:multiLevelType w:val="hybridMultilevel"/>
    <w:tmpl w:val="E7E4A1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9F1D9F"/>
    <w:multiLevelType w:val="hybridMultilevel"/>
    <w:tmpl w:val="253005FE"/>
    <w:lvl w:ilvl="0" w:tplc="041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6A5E7F"/>
    <w:multiLevelType w:val="hybridMultilevel"/>
    <w:tmpl w:val="011AAC4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A73785"/>
    <w:multiLevelType w:val="hybridMultilevel"/>
    <w:tmpl w:val="387C6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644E4B"/>
    <w:multiLevelType w:val="hybridMultilevel"/>
    <w:tmpl w:val="C4F69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98D1490"/>
    <w:multiLevelType w:val="hybridMultilevel"/>
    <w:tmpl w:val="151AC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F9747C4"/>
    <w:multiLevelType w:val="hybridMultilevel"/>
    <w:tmpl w:val="8458C1B6"/>
    <w:lvl w:ilvl="0" w:tplc="0415000F">
      <w:start w:val="1"/>
      <w:numFmt w:val="decimal"/>
      <w:lvlText w:val="%1."/>
      <w:lvlJc w:val="left"/>
      <w:pPr>
        <w:ind w:left="720" w:hanging="360"/>
      </w:pPr>
    </w:lvl>
    <w:lvl w:ilvl="1" w:tplc="857ED512">
      <w:numFmt w:val="bullet"/>
      <w:lvlText w:val="•"/>
      <w:lvlJc w:val="left"/>
      <w:pPr>
        <w:ind w:left="1755" w:hanging="675"/>
      </w:pPr>
      <w:rPr>
        <w:rFonts w:ascii="Arial" w:eastAsiaTheme="minorHAnsi"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544C0C"/>
    <w:multiLevelType w:val="hybridMultilevel"/>
    <w:tmpl w:val="5B821672"/>
    <w:lvl w:ilvl="0" w:tplc="0415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99C25BA"/>
    <w:multiLevelType w:val="hybridMultilevel"/>
    <w:tmpl w:val="2208F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9"/>
  </w:num>
  <w:num w:numId="4">
    <w:abstractNumId w:val="11"/>
  </w:num>
  <w:num w:numId="5">
    <w:abstractNumId w:val="10"/>
  </w:num>
  <w:num w:numId="6">
    <w:abstractNumId w:val="16"/>
  </w:num>
  <w:num w:numId="7">
    <w:abstractNumId w:val="17"/>
  </w:num>
  <w:num w:numId="8">
    <w:abstractNumId w:val="8"/>
  </w:num>
  <w:num w:numId="9">
    <w:abstractNumId w:val="12"/>
  </w:num>
  <w:num w:numId="10">
    <w:abstractNumId w:val="4"/>
  </w:num>
  <w:num w:numId="11">
    <w:abstractNumId w:val="5"/>
  </w:num>
  <w:num w:numId="12">
    <w:abstractNumId w:val="14"/>
  </w:num>
  <w:num w:numId="13">
    <w:abstractNumId w:val="19"/>
  </w:num>
  <w:num w:numId="14">
    <w:abstractNumId w:val="13"/>
  </w:num>
  <w:num w:numId="15">
    <w:abstractNumId w:val="3"/>
  </w:num>
  <w:num w:numId="16">
    <w:abstractNumId w:val="18"/>
  </w:num>
  <w:num w:numId="17">
    <w:abstractNumId w:val="7"/>
  </w:num>
  <w:num w:numId="18">
    <w:abstractNumId w:val="6"/>
  </w:num>
  <w:num w:numId="19">
    <w:abstractNumId w:val="2"/>
  </w:num>
  <w:num w:numId="20">
    <w:abstractNumId w:val="15"/>
  </w:num>
  <w:num w:numId="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83"/>
    <w:rsid w:val="000033F0"/>
    <w:rsid w:val="0001712E"/>
    <w:rsid w:val="0002155C"/>
    <w:rsid w:val="00021FCF"/>
    <w:rsid w:val="0003269D"/>
    <w:rsid w:val="00036473"/>
    <w:rsid w:val="00046A5C"/>
    <w:rsid w:val="00047A6C"/>
    <w:rsid w:val="00047E43"/>
    <w:rsid w:val="00047FBA"/>
    <w:rsid w:val="00050251"/>
    <w:rsid w:val="000504B5"/>
    <w:rsid w:val="0005465E"/>
    <w:rsid w:val="000607D1"/>
    <w:rsid w:val="000609A1"/>
    <w:rsid w:val="00073D3B"/>
    <w:rsid w:val="00081192"/>
    <w:rsid w:val="00094A1C"/>
    <w:rsid w:val="0009519C"/>
    <w:rsid w:val="000A65AC"/>
    <w:rsid w:val="000B35BF"/>
    <w:rsid w:val="000B7267"/>
    <w:rsid w:val="000D77D9"/>
    <w:rsid w:val="000E321E"/>
    <w:rsid w:val="000F3C73"/>
    <w:rsid w:val="000F4FB6"/>
    <w:rsid w:val="000F510D"/>
    <w:rsid w:val="00100746"/>
    <w:rsid w:val="00100C7C"/>
    <w:rsid w:val="00107D1A"/>
    <w:rsid w:val="0011418D"/>
    <w:rsid w:val="00120AC3"/>
    <w:rsid w:val="00127C2A"/>
    <w:rsid w:val="001305A4"/>
    <w:rsid w:val="00131543"/>
    <w:rsid w:val="00133844"/>
    <w:rsid w:val="00133A62"/>
    <w:rsid w:val="00150DCD"/>
    <w:rsid w:val="00152FF5"/>
    <w:rsid w:val="0016175A"/>
    <w:rsid w:val="0017040F"/>
    <w:rsid w:val="00170E7E"/>
    <w:rsid w:val="001712A1"/>
    <w:rsid w:val="001732F8"/>
    <w:rsid w:val="001767C8"/>
    <w:rsid w:val="00180561"/>
    <w:rsid w:val="001913B3"/>
    <w:rsid w:val="00195724"/>
    <w:rsid w:val="001C33AF"/>
    <w:rsid w:val="001C4F11"/>
    <w:rsid w:val="001E0533"/>
    <w:rsid w:val="001F2AE6"/>
    <w:rsid w:val="001F31B4"/>
    <w:rsid w:val="00210CF1"/>
    <w:rsid w:val="0021141E"/>
    <w:rsid w:val="0021728D"/>
    <w:rsid w:val="00224739"/>
    <w:rsid w:val="00224D8A"/>
    <w:rsid w:val="0022566C"/>
    <w:rsid w:val="00232FB4"/>
    <w:rsid w:val="002424D9"/>
    <w:rsid w:val="002506BD"/>
    <w:rsid w:val="00254D93"/>
    <w:rsid w:val="00255C24"/>
    <w:rsid w:val="00256C6B"/>
    <w:rsid w:val="00273DAF"/>
    <w:rsid w:val="0029040B"/>
    <w:rsid w:val="002A0973"/>
    <w:rsid w:val="002A2B25"/>
    <w:rsid w:val="002A5545"/>
    <w:rsid w:val="002B6948"/>
    <w:rsid w:val="002C6657"/>
    <w:rsid w:val="002D12AB"/>
    <w:rsid w:val="002D4C95"/>
    <w:rsid w:val="002E5860"/>
    <w:rsid w:val="002F7BEC"/>
    <w:rsid w:val="003063DA"/>
    <w:rsid w:val="00310A3E"/>
    <w:rsid w:val="00315306"/>
    <w:rsid w:val="003162E0"/>
    <w:rsid w:val="00334508"/>
    <w:rsid w:val="00360CB9"/>
    <w:rsid w:val="003742EB"/>
    <w:rsid w:val="003758E9"/>
    <w:rsid w:val="00377EF4"/>
    <w:rsid w:val="00383FB4"/>
    <w:rsid w:val="0039674C"/>
    <w:rsid w:val="003A4EBD"/>
    <w:rsid w:val="003B644B"/>
    <w:rsid w:val="003B6A28"/>
    <w:rsid w:val="003C1831"/>
    <w:rsid w:val="003C18AB"/>
    <w:rsid w:val="003C6290"/>
    <w:rsid w:val="003E42DD"/>
    <w:rsid w:val="003E7C9F"/>
    <w:rsid w:val="003F25A4"/>
    <w:rsid w:val="003F2F22"/>
    <w:rsid w:val="003F36C6"/>
    <w:rsid w:val="004011CF"/>
    <w:rsid w:val="00405963"/>
    <w:rsid w:val="004212A7"/>
    <w:rsid w:val="00423454"/>
    <w:rsid w:val="0043097D"/>
    <w:rsid w:val="00431DE0"/>
    <w:rsid w:val="00437F7F"/>
    <w:rsid w:val="00440B16"/>
    <w:rsid w:val="00447D76"/>
    <w:rsid w:val="00453153"/>
    <w:rsid w:val="0046149F"/>
    <w:rsid w:val="00475315"/>
    <w:rsid w:val="004902A6"/>
    <w:rsid w:val="004A062B"/>
    <w:rsid w:val="004A7153"/>
    <w:rsid w:val="004B4702"/>
    <w:rsid w:val="004C3FEE"/>
    <w:rsid w:val="004C4799"/>
    <w:rsid w:val="004C70F8"/>
    <w:rsid w:val="004E7E44"/>
    <w:rsid w:val="004F6A30"/>
    <w:rsid w:val="005033B8"/>
    <w:rsid w:val="00505AA1"/>
    <w:rsid w:val="005201CE"/>
    <w:rsid w:val="00527769"/>
    <w:rsid w:val="00531085"/>
    <w:rsid w:val="0054658C"/>
    <w:rsid w:val="00552657"/>
    <w:rsid w:val="005546A3"/>
    <w:rsid w:val="00555BF7"/>
    <w:rsid w:val="00560CEE"/>
    <w:rsid w:val="00567E8C"/>
    <w:rsid w:val="00587E40"/>
    <w:rsid w:val="00590D85"/>
    <w:rsid w:val="005976FC"/>
    <w:rsid w:val="005A702F"/>
    <w:rsid w:val="005B1EEE"/>
    <w:rsid w:val="005C0194"/>
    <w:rsid w:val="005D3F48"/>
    <w:rsid w:val="005E174B"/>
    <w:rsid w:val="005E7719"/>
    <w:rsid w:val="00604069"/>
    <w:rsid w:val="0062394F"/>
    <w:rsid w:val="00625963"/>
    <w:rsid w:val="0062641B"/>
    <w:rsid w:val="00627AF9"/>
    <w:rsid w:val="00642E93"/>
    <w:rsid w:val="006436B1"/>
    <w:rsid w:val="0064484A"/>
    <w:rsid w:val="006455D5"/>
    <w:rsid w:val="00652247"/>
    <w:rsid w:val="00653A5A"/>
    <w:rsid w:val="006659C2"/>
    <w:rsid w:val="00686C5E"/>
    <w:rsid w:val="006A249D"/>
    <w:rsid w:val="006A703B"/>
    <w:rsid w:val="006B10FD"/>
    <w:rsid w:val="006B56F6"/>
    <w:rsid w:val="006C0520"/>
    <w:rsid w:val="006C0806"/>
    <w:rsid w:val="006C163E"/>
    <w:rsid w:val="006E47AB"/>
    <w:rsid w:val="006E5EE3"/>
    <w:rsid w:val="006F482C"/>
    <w:rsid w:val="00700719"/>
    <w:rsid w:val="00703F6D"/>
    <w:rsid w:val="00705D6C"/>
    <w:rsid w:val="0070671B"/>
    <w:rsid w:val="0072190F"/>
    <w:rsid w:val="00733525"/>
    <w:rsid w:val="007455C6"/>
    <w:rsid w:val="00750092"/>
    <w:rsid w:val="007660E1"/>
    <w:rsid w:val="00767ED3"/>
    <w:rsid w:val="00780732"/>
    <w:rsid w:val="00784E91"/>
    <w:rsid w:val="007B4F14"/>
    <w:rsid w:val="007C3C4E"/>
    <w:rsid w:val="007C4A2C"/>
    <w:rsid w:val="007D558B"/>
    <w:rsid w:val="007E2403"/>
    <w:rsid w:val="007E2D3B"/>
    <w:rsid w:val="007F30B1"/>
    <w:rsid w:val="008157B2"/>
    <w:rsid w:val="00817A56"/>
    <w:rsid w:val="00831D98"/>
    <w:rsid w:val="008353EB"/>
    <w:rsid w:val="008456B3"/>
    <w:rsid w:val="00875291"/>
    <w:rsid w:val="00880D22"/>
    <w:rsid w:val="0088398B"/>
    <w:rsid w:val="0089112E"/>
    <w:rsid w:val="008A0110"/>
    <w:rsid w:val="008B41DB"/>
    <w:rsid w:val="008B68EF"/>
    <w:rsid w:val="008D52BD"/>
    <w:rsid w:val="008E14E6"/>
    <w:rsid w:val="008E28D2"/>
    <w:rsid w:val="008E760F"/>
    <w:rsid w:val="008F5873"/>
    <w:rsid w:val="009115CD"/>
    <w:rsid w:val="00950EE9"/>
    <w:rsid w:val="00956338"/>
    <w:rsid w:val="009564FD"/>
    <w:rsid w:val="00957914"/>
    <w:rsid w:val="00962A9B"/>
    <w:rsid w:val="00964E47"/>
    <w:rsid w:val="00977C67"/>
    <w:rsid w:val="00985201"/>
    <w:rsid w:val="009870D5"/>
    <w:rsid w:val="0098734A"/>
    <w:rsid w:val="009A1118"/>
    <w:rsid w:val="009A2702"/>
    <w:rsid w:val="009B11D0"/>
    <w:rsid w:val="009B2951"/>
    <w:rsid w:val="009B2B1E"/>
    <w:rsid w:val="009C0540"/>
    <w:rsid w:val="009C30D2"/>
    <w:rsid w:val="009C6059"/>
    <w:rsid w:val="009D3B4D"/>
    <w:rsid w:val="009E3D07"/>
    <w:rsid w:val="009F069C"/>
    <w:rsid w:val="009F7CC7"/>
    <w:rsid w:val="00A01867"/>
    <w:rsid w:val="00A10A2C"/>
    <w:rsid w:val="00A14DBB"/>
    <w:rsid w:val="00A215FE"/>
    <w:rsid w:val="00A258D2"/>
    <w:rsid w:val="00A3084B"/>
    <w:rsid w:val="00A409CF"/>
    <w:rsid w:val="00A43C9F"/>
    <w:rsid w:val="00A50A9B"/>
    <w:rsid w:val="00A57842"/>
    <w:rsid w:val="00A66C4D"/>
    <w:rsid w:val="00A7584C"/>
    <w:rsid w:val="00A849A3"/>
    <w:rsid w:val="00A84AFF"/>
    <w:rsid w:val="00A902E6"/>
    <w:rsid w:val="00AA0B87"/>
    <w:rsid w:val="00AA7C03"/>
    <w:rsid w:val="00AC24A0"/>
    <w:rsid w:val="00AC47D8"/>
    <w:rsid w:val="00AC4EE2"/>
    <w:rsid w:val="00AD3B15"/>
    <w:rsid w:val="00AE21B6"/>
    <w:rsid w:val="00AE694C"/>
    <w:rsid w:val="00B0016B"/>
    <w:rsid w:val="00B059B6"/>
    <w:rsid w:val="00B104C1"/>
    <w:rsid w:val="00B13F55"/>
    <w:rsid w:val="00B171AB"/>
    <w:rsid w:val="00B177B3"/>
    <w:rsid w:val="00B22F0A"/>
    <w:rsid w:val="00B37068"/>
    <w:rsid w:val="00B37924"/>
    <w:rsid w:val="00B5126D"/>
    <w:rsid w:val="00B63D48"/>
    <w:rsid w:val="00B6501E"/>
    <w:rsid w:val="00B76860"/>
    <w:rsid w:val="00B908F9"/>
    <w:rsid w:val="00B9550C"/>
    <w:rsid w:val="00BA18E3"/>
    <w:rsid w:val="00BA3562"/>
    <w:rsid w:val="00BB0DF9"/>
    <w:rsid w:val="00BB72AC"/>
    <w:rsid w:val="00BD076B"/>
    <w:rsid w:val="00BD1A62"/>
    <w:rsid w:val="00BD2064"/>
    <w:rsid w:val="00BE09C4"/>
    <w:rsid w:val="00BE6284"/>
    <w:rsid w:val="00BF2F40"/>
    <w:rsid w:val="00C00869"/>
    <w:rsid w:val="00C1234D"/>
    <w:rsid w:val="00C151B3"/>
    <w:rsid w:val="00C214E2"/>
    <w:rsid w:val="00C24C30"/>
    <w:rsid w:val="00C30C96"/>
    <w:rsid w:val="00C31790"/>
    <w:rsid w:val="00C4104E"/>
    <w:rsid w:val="00C43341"/>
    <w:rsid w:val="00C45E6E"/>
    <w:rsid w:val="00C47BF0"/>
    <w:rsid w:val="00C51E4A"/>
    <w:rsid w:val="00C52244"/>
    <w:rsid w:val="00C563C3"/>
    <w:rsid w:val="00C636C3"/>
    <w:rsid w:val="00C83086"/>
    <w:rsid w:val="00C94270"/>
    <w:rsid w:val="00CA1515"/>
    <w:rsid w:val="00CA7624"/>
    <w:rsid w:val="00CB1140"/>
    <w:rsid w:val="00CC123F"/>
    <w:rsid w:val="00CE1A7A"/>
    <w:rsid w:val="00CE31F7"/>
    <w:rsid w:val="00CE6C85"/>
    <w:rsid w:val="00CF0BEF"/>
    <w:rsid w:val="00CF3819"/>
    <w:rsid w:val="00D009E0"/>
    <w:rsid w:val="00D21AC6"/>
    <w:rsid w:val="00D32B1D"/>
    <w:rsid w:val="00D34C97"/>
    <w:rsid w:val="00D43726"/>
    <w:rsid w:val="00D5196C"/>
    <w:rsid w:val="00D52B1E"/>
    <w:rsid w:val="00D5477F"/>
    <w:rsid w:val="00D5603E"/>
    <w:rsid w:val="00D64908"/>
    <w:rsid w:val="00D667E9"/>
    <w:rsid w:val="00D75DCB"/>
    <w:rsid w:val="00D76FE4"/>
    <w:rsid w:val="00D773BE"/>
    <w:rsid w:val="00D82272"/>
    <w:rsid w:val="00D857D9"/>
    <w:rsid w:val="00D86E2E"/>
    <w:rsid w:val="00D943E7"/>
    <w:rsid w:val="00D96932"/>
    <w:rsid w:val="00DA0214"/>
    <w:rsid w:val="00DA12DF"/>
    <w:rsid w:val="00DA2538"/>
    <w:rsid w:val="00DA732B"/>
    <w:rsid w:val="00DB32CD"/>
    <w:rsid w:val="00DB5198"/>
    <w:rsid w:val="00DC6A6E"/>
    <w:rsid w:val="00DD39AF"/>
    <w:rsid w:val="00DD50E5"/>
    <w:rsid w:val="00DE32B6"/>
    <w:rsid w:val="00DE3E40"/>
    <w:rsid w:val="00DF78EA"/>
    <w:rsid w:val="00E02097"/>
    <w:rsid w:val="00E07107"/>
    <w:rsid w:val="00E103BD"/>
    <w:rsid w:val="00E1258A"/>
    <w:rsid w:val="00E131CE"/>
    <w:rsid w:val="00E14A2D"/>
    <w:rsid w:val="00E14E54"/>
    <w:rsid w:val="00E1714B"/>
    <w:rsid w:val="00E2586C"/>
    <w:rsid w:val="00E3107C"/>
    <w:rsid w:val="00E32DBC"/>
    <w:rsid w:val="00E47370"/>
    <w:rsid w:val="00E5069E"/>
    <w:rsid w:val="00E72E56"/>
    <w:rsid w:val="00E77639"/>
    <w:rsid w:val="00E77901"/>
    <w:rsid w:val="00E804A1"/>
    <w:rsid w:val="00E807FB"/>
    <w:rsid w:val="00E833BF"/>
    <w:rsid w:val="00E8432F"/>
    <w:rsid w:val="00E863B9"/>
    <w:rsid w:val="00E878B9"/>
    <w:rsid w:val="00E901DD"/>
    <w:rsid w:val="00E97EB5"/>
    <w:rsid w:val="00EA211A"/>
    <w:rsid w:val="00EE0D71"/>
    <w:rsid w:val="00EE32A7"/>
    <w:rsid w:val="00EE650D"/>
    <w:rsid w:val="00F136AF"/>
    <w:rsid w:val="00F25557"/>
    <w:rsid w:val="00F3734C"/>
    <w:rsid w:val="00F40379"/>
    <w:rsid w:val="00F406DE"/>
    <w:rsid w:val="00F44190"/>
    <w:rsid w:val="00F565AA"/>
    <w:rsid w:val="00F70815"/>
    <w:rsid w:val="00F70D75"/>
    <w:rsid w:val="00F77D93"/>
    <w:rsid w:val="00F909E0"/>
    <w:rsid w:val="00F90C23"/>
    <w:rsid w:val="00F91883"/>
    <w:rsid w:val="00F928D1"/>
    <w:rsid w:val="00F956E2"/>
    <w:rsid w:val="00FA11DC"/>
    <w:rsid w:val="00FC1ED5"/>
    <w:rsid w:val="00FC3B53"/>
    <w:rsid w:val="00FC5FCB"/>
    <w:rsid w:val="00FD1679"/>
    <w:rsid w:val="00FD4EC0"/>
    <w:rsid w:val="00FD6E59"/>
    <w:rsid w:val="00FE7C29"/>
    <w:rsid w:val="00FF7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CF124"/>
  <w15:docId w15:val="{E1C8D4F2-E382-4011-9C89-7DD0234B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7E40"/>
  </w:style>
  <w:style w:type="paragraph" w:styleId="Nagwek1">
    <w:name w:val="heading 1"/>
    <w:basedOn w:val="Normalny"/>
    <w:next w:val="Normalny"/>
    <w:link w:val="Nagwek1Znak"/>
    <w:uiPriority w:val="9"/>
    <w:qFormat/>
    <w:rsid w:val="005C01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127C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A849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91883"/>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qFormat/>
    <w:rsid w:val="00F91883"/>
    <w:rPr>
      <w:rFonts w:ascii="Times New Roman" w:eastAsia="Times New Roman" w:hAnsi="Times New Roman" w:cs="Times New Roman"/>
      <w:sz w:val="24"/>
      <w:szCs w:val="24"/>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rsid w:val="00F9188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F91883"/>
    <w:rPr>
      <w:rFonts w:ascii="Times New Roman" w:eastAsia="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Times 10 Point"/>
    <w:rsid w:val="00F91883"/>
    <w:rPr>
      <w:vertAlign w:val="superscript"/>
    </w:rPr>
  </w:style>
  <w:style w:type="paragraph" w:customStyle="1" w:styleId="Standard">
    <w:name w:val="Standard"/>
    <w:rsid w:val="00F91883"/>
    <w:pPr>
      <w:widowControl w:val="0"/>
      <w:autoSpaceDE w:val="0"/>
      <w:autoSpaceDN w:val="0"/>
      <w:spacing w:after="0" w:line="240" w:lineRule="auto"/>
      <w:jc w:val="both"/>
    </w:pPr>
    <w:rPr>
      <w:rFonts w:ascii="Arial" w:eastAsia="Times New Roman" w:hAnsi="Arial" w:cs="Arial"/>
      <w:lang w:eastAsia="pl-PL"/>
    </w:rPr>
  </w:style>
  <w:style w:type="paragraph" w:styleId="Nagwek">
    <w:name w:val="header"/>
    <w:basedOn w:val="Normalny"/>
    <w:link w:val="NagwekZnak"/>
    <w:uiPriority w:val="99"/>
    <w:unhideWhenUsed/>
    <w:rsid w:val="00E258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86C"/>
  </w:style>
  <w:style w:type="paragraph" w:styleId="Stopka">
    <w:name w:val="footer"/>
    <w:basedOn w:val="Normalny"/>
    <w:link w:val="StopkaZnak"/>
    <w:uiPriority w:val="99"/>
    <w:unhideWhenUsed/>
    <w:rsid w:val="00E258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86C"/>
  </w:style>
  <w:style w:type="paragraph" w:styleId="Tekstdymka">
    <w:name w:val="Balloon Text"/>
    <w:basedOn w:val="Normalny"/>
    <w:link w:val="TekstdymkaZnak"/>
    <w:uiPriority w:val="99"/>
    <w:semiHidden/>
    <w:unhideWhenUsed/>
    <w:rsid w:val="00E258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586C"/>
    <w:rPr>
      <w:rFonts w:ascii="Tahoma" w:hAnsi="Tahoma" w:cs="Tahoma"/>
      <w:sz w:val="16"/>
      <w:szCs w:val="16"/>
    </w:rPr>
  </w:style>
  <w:style w:type="character" w:styleId="Odwoaniedokomentarza">
    <w:name w:val="annotation reference"/>
    <w:uiPriority w:val="99"/>
    <w:semiHidden/>
    <w:unhideWhenUsed/>
    <w:rsid w:val="00703F6D"/>
    <w:rPr>
      <w:sz w:val="16"/>
      <w:szCs w:val="16"/>
    </w:rPr>
  </w:style>
  <w:style w:type="paragraph" w:styleId="Tekstkomentarza">
    <w:name w:val="annotation text"/>
    <w:aliases w:val="Znak, Znak"/>
    <w:basedOn w:val="Normalny"/>
    <w:link w:val="TekstkomentarzaZnak"/>
    <w:uiPriority w:val="99"/>
    <w:unhideWhenUsed/>
    <w:qFormat/>
    <w:rsid w:val="00703F6D"/>
    <w:rPr>
      <w:rFonts w:ascii="Calibri" w:eastAsia="Calibri"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qFormat/>
    <w:rsid w:val="00703F6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1712E"/>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01712E"/>
    <w:rPr>
      <w:rFonts w:ascii="Calibri" w:eastAsia="Calibri" w:hAnsi="Calibri" w:cs="Times New Roman"/>
      <w:b/>
      <w:bCs/>
      <w:sz w:val="20"/>
      <w:szCs w:val="20"/>
    </w:rPr>
  </w:style>
  <w:style w:type="paragraph" w:styleId="Zwykytekst">
    <w:name w:val="Plain Text"/>
    <w:basedOn w:val="Normalny"/>
    <w:link w:val="ZwykytekstZnak"/>
    <w:uiPriority w:val="99"/>
    <w:unhideWhenUsed/>
    <w:rsid w:val="00F956E2"/>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rsid w:val="00F956E2"/>
    <w:rPr>
      <w:rFonts w:ascii="Consolas" w:hAnsi="Consolas" w:cs="Consolas"/>
      <w:sz w:val="21"/>
      <w:szCs w:val="21"/>
    </w:rPr>
  </w:style>
  <w:style w:type="paragraph" w:customStyle="1" w:styleId="Default">
    <w:name w:val="Default"/>
    <w:rsid w:val="007660E1"/>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6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127C2A"/>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
    <w:uiPriority w:val="9"/>
    <w:rsid w:val="005C0194"/>
    <w:rPr>
      <w:rFonts w:asciiTheme="majorHAnsi" w:eastAsiaTheme="majorEastAsia" w:hAnsiTheme="majorHAnsi" w:cstheme="majorBidi"/>
      <w:color w:val="365F91" w:themeColor="accent1" w:themeShade="BF"/>
      <w:sz w:val="32"/>
      <w:szCs w:val="32"/>
    </w:rPr>
  </w:style>
  <w:style w:type="paragraph" w:styleId="Poprawka">
    <w:name w:val="Revision"/>
    <w:hidden/>
    <w:uiPriority w:val="99"/>
    <w:semiHidden/>
    <w:rsid w:val="007F30B1"/>
    <w:pPr>
      <w:spacing w:after="0" w:line="240" w:lineRule="auto"/>
    </w:pPr>
  </w:style>
  <w:style w:type="character" w:customStyle="1" w:styleId="Nagwek3Znak">
    <w:name w:val="Nagłówek 3 Znak"/>
    <w:basedOn w:val="Domylnaczcionkaakapitu"/>
    <w:link w:val="Nagwek3"/>
    <w:uiPriority w:val="9"/>
    <w:rsid w:val="00A849A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2734">
      <w:bodyDiv w:val="1"/>
      <w:marLeft w:val="0"/>
      <w:marRight w:val="0"/>
      <w:marTop w:val="0"/>
      <w:marBottom w:val="0"/>
      <w:divBdr>
        <w:top w:val="none" w:sz="0" w:space="0" w:color="auto"/>
        <w:left w:val="none" w:sz="0" w:space="0" w:color="auto"/>
        <w:bottom w:val="none" w:sz="0" w:space="0" w:color="auto"/>
        <w:right w:val="none" w:sz="0" w:space="0" w:color="auto"/>
      </w:divBdr>
    </w:div>
    <w:div w:id="282005328">
      <w:bodyDiv w:val="1"/>
      <w:marLeft w:val="0"/>
      <w:marRight w:val="0"/>
      <w:marTop w:val="0"/>
      <w:marBottom w:val="0"/>
      <w:divBdr>
        <w:top w:val="none" w:sz="0" w:space="0" w:color="auto"/>
        <w:left w:val="none" w:sz="0" w:space="0" w:color="auto"/>
        <w:bottom w:val="none" w:sz="0" w:space="0" w:color="auto"/>
        <w:right w:val="none" w:sz="0" w:space="0" w:color="auto"/>
      </w:divBdr>
    </w:div>
    <w:div w:id="287594509">
      <w:bodyDiv w:val="1"/>
      <w:marLeft w:val="0"/>
      <w:marRight w:val="0"/>
      <w:marTop w:val="0"/>
      <w:marBottom w:val="0"/>
      <w:divBdr>
        <w:top w:val="none" w:sz="0" w:space="0" w:color="auto"/>
        <w:left w:val="none" w:sz="0" w:space="0" w:color="auto"/>
        <w:bottom w:val="none" w:sz="0" w:space="0" w:color="auto"/>
        <w:right w:val="none" w:sz="0" w:space="0" w:color="auto"/>
      </w:divBdr>
    </w:div>
    <w:div w:id="366564214">
      <w:bodyDiv w:val="1"/>
      <w:marLeft w:val="0"/>
      <w:marRight w:val="0"/>
      <w:marTop w:val="0"/>
      <w:marBottom w:val="0"/>
      <w:divBdr>
        <w:top w:val="none" w:sz="0" w:space="0" w:color="auto"/>
        <w:left w:val="none" w:sz="0" w:space="0" w:color="auto"/>
        <w:bottom w:val="none" w:sz="0" w:space="0" w:color="auto"/>
        <w:right w:val="none" w:sz="0" w:space="0" w:color="auto"/>
      </w:divBdr>
    </w:div>
    <w:div w:id="479420158">
      <w:bodyDiv w:val="1"/>
      <w:marLeft w:val="0"/>
      <w:marRight w:val="0"/>
      <w:marTop w:val="0"/>
      <w:marBottom w:val="0"/>
      <w:divBdr>
        <w:top w:val="none" w:sz="0" w:space="0" w:color="auto"/>
        <w:left w:val="none" w:sz="0" w:space="0" w:color="auto"/>
        <w:bottom w:val="none" w:sz="0" w:space="0" w:color="auto"/>
        <w:right w:val="none" w:sz="0" w:space="0" w:color="auto"/>
      </w:divBdr>
    </w:div>
    <w:div w:id="548107011">
      <w:bodyDiv w:val="1"/>
      <w:marLeft w:val="0"/>
      <w:marRight w:val="0"/>
      <w:marTop w:val="0"/>
      <w:marBottom w:val="0"/>
      <w:divBdr>
        <w:top w:val="none" w:sz="0" w:space="0" w:color="auto"/>
        <w:left w:val="none" w:sz="0" w:space="0" w:color="auto"/>
        <w:bottom w:val="none" w:sz="0" w:space="0" w:color="auto"/>
        <w:right w:val="none" w:sz="0" w:space="0" w:color="auto"/>
      </w:divBdr>
    </w:div>
    <w:div w:id="558175727">
      <w:bodyDiv w:val="1"/>
      <w:marLeft w:val="0"/>
      <w:marRight w:val="0"/>
      <w:marTop w:val="0"/>
      <w:marBottom w:val="0"/>
      <w:divBdr>
        <w:top w:val="none" w:sz="0" w:space="0" w:color="auto"/>
        <w:left w:val="none" w:sz="0" w:space="0" w:color="auto"/>
        <w:bottom w:val="none" w:sz="0" w:space="0" w:color="auto"/>
        <w:right w:val="none" w:sz="0" w:space="0" w:color="auto"/>
      </w:divBdr>
    </w:div>
    <w:div w:id="628512214">
      <w:bodyDiv w:val="1"/>
      <w:marLeft w:val="0"/>
      <w:marRight w:val="0"/>
      <w:marTop w:val="0"/>
      <w:marBottom w:val="0"/>
      <w:divBdr>
        <w:top w:val="none" w:sz="0" w:space="0" w:color="auto"/>
        <w:left w:val="none" w:sz="0" w:space="0" w:color="auto"/>
        <w:bottom w:val="none" w:sz="0" w:space="0" w:color="auto"/>
        <w:right w:val="none" w:sz="0" w:space="0" w:color="auto"/>
      </w:divBdr>
    </w:div>
    <w:div w:id="640235927">
      <w:bodyDiv w:val="1"/>
      <w:marLeft w:val="0"/>
      <w:marRight w:val="0"/>
      <w:marTop w:val="0"/>
      <w:marBottom w:val="0"/>
      <w:divBdr>
        <w:top w:val="none" w:sz="0" w:space="0" w:color="auto"/>
        <w:left w:val="none" w:sz="0" w:space="0" w:color="auto"/>
        <w:bottom w:val="none" w:sz="0" w:space="0" w:color="auto"/>
        <w:right w:val="none" w:sz="0" w:space="0" w:color="auto"/>
      </w:divBdr>
    </w:div>
    <w:div w:id="679089182">
      <w:bodyDiv w:val="1"/>
      <w:marLeft w:val="0"/>
      <w:marRight w:val="0"/>
      <w:marTop w:val="0"/>
      <w:marBottom w:val="0"/>
      <w:divBdr>
        <w:top w:val="none" w:sz="0" w:space="0" w:color="auto"/>
        <w:left w:val="none" w:sz="0" w:space="0" w:color="auto"/>
        <w:bottom w:val="none" w:sz="0" w:space="0" w:color="auto"/>
        <w:right w:val="none" w:sz="0" w:space="0" w:color="auto"/>
      </w:divBdr>
    </w:div>
    <w:div w:id="732198369">
      <w:bodyDiv w:val="1"/>
      <w:marLeft w:val="0"/>
      <w:marRight w:val="0"/>
      <w:marTop w:val="0"/>
      <w:marBottom w:val="0"/>
      <w:divBdr>
        <w:top w:val="none" w:sz="0" w:space="0" w:color="auto"/>
        <w:left w:val="none" w:sz="0" w:space="0" w:color="auto"/>
        <w:bottom w:val="none" w:sz="0" w:space="0" w:color="auto"/>
        <w:right w:val="none" w:sz="0" w:space="0" w:color="auto"/>
      </w:divBdr>
    </w:div>
    <w:div w:id="843130010">
      <w:bodyDiv w:val="1"/>
      <w:marLeft w:val="0"/>
      <w:marRight w:val="0"/>
      <w:marTop w:val="0"/>
      <w:marBottom w:val="0"/>
      <w:divBdr>
        <w:top w:val="none" w:sz="0" w:space="0" w:color="auto"/>
        <w:left w:val="none" w:sz="0" w:space="0" w:color="auto"/>
        <w:bottom w:val="none" w:sz="0" w:space="0" w:color="auto"/>
        <w:right w:val="none" w:sz="0" w:space="0" w:color="auto"/>
      </w:divBdr>
    </w:div>
    <w:div w:id="1017386101">
      <w:bodyDiv w:val="1"/>
      <w:marLeft w:val="0"/>
      <w:marRight w:val="0"/>
      <w:marTop w:val="0"/>
      <w:marBottom w:val="0"/>
      <w:divBdr>
        <w:top w:val="none" w:sz="0" w:space="0" w:color="auto"/>
        <w:left w:val="none" w:sz="0" w:space="0" w:color="auto"/>
        <w:bottom w:val="none" w:sz="0" w:space="0" w:color="auto"/>
        <w:right w:val="none" w:sz="0" w:space="0" w:color="auto"/>
      </w:divBdr>
    </w:div>
    <w:div w:id="1113399458">
      <w:bodyDiv w:val="1"/>
      <w:marLeft w:val="0"/>
      <w:marRight w:val="0"/>
      <w:marTop w:val="0"/>
      <w:marBottom w:val="0"/>
      <w:divBdr>
        <w:top w:val="none" w:sz="0" w:space="0" w:color="auto"/>
        <w:left w:val="none" w:sz="0" w:space="0" w:color="auto"/>
        <w:bottom w:val="none" w:sz="0" w:space="0" w:color="auto"/>
        <w:right w:val="none" w:sz="0" w:space="0" w:color="auto"/>
      </w:divBdr>
    </w:div>
    <w:div w:id="1168717364">
      <w:bodyDiv w:val="1"/>
      <w:marLeft w:val="0"/>
      <w:marRight w:val="0"/>
      <w:marTop w:val="0"/>
      <w:marBottom w:val="0"/>
      <w:divBdr>
        <w:top w:val="none" w:sz="0" w:space="0" w:color="auto"/>
        <w:left w:val="none" w:sz="0" w:space="0" w:color="auto"/>
        <w:bottom w:val="none" w:sz="0" w:space="0" w:color="auto"/>
        <w:right w:val="none" w:sz="0" w:space="0" w:color="auto"/>
      </w:divBdr>
    </w:div>
    <w:div w:id="1786265761">
      <w:bodyDiv w:val="1"/>
      <w:marLeft w:val="0"/>
      <w:marRight w:val="0"/>
      <w:marTop w:val="0"/>
      <w:marBottom w:val="0"/>
      <w:divBdr>
        <w:top w:val="none" w:sz="0" w:space="0" w:color="auto"/>
        <w:left w:val="none" w:sz="0" w:space="0" w:color="auto"/>
        <w:bottom w:val="none" w:sz="0" w:space="0" w:color="auto"/>
        <w:right w:val="none" w:sz="0" w:space="0" w:color="auto"/>
      </w:divBdr>
    </w:div>
    <w:div w:id="1814982050">
      <w:bodyDiv w:val="1"/>
      <w:marLeft w:val="0"/>
      <w:marRight w:val="0"/>
      <w:marTop w:val="0"/>
      <w:marBottom w:val="0"/>
      <w:divBdr>
        <w:top w:val="none" w:sz="0" w:space="0" w:color="auto"/>
        <w:left w:val="none" w:sz="0" w:space="0" w:color="auto"/>
        <w:bottom w:val="none" w:sz="0" w:space="0" w:color="auto"/>
        <w:right w:val="none" w:sz="0" w:space="0" w:color="auto"/>
      </w:divBdr>
    </w:div>
    <w:div w:id="1833178766">
      <w:bodyDiv w:val="1"/>
      <w:marLeft w:val="0"/>
      <w:marRight w:val="0"/>
      <w:marTop w:val="0"/>
      <w:marBottom w:val="0"/>
      <w:divBdr>
        <w:top w:val="none" w:sz="0" w:space="0" w:color="auto"/>
        <w:left w:val="none" w:sz="0" w:space="0" w:color="auto"/>
        <w:bottom w:val="none" w:sz="0" w:space="0" w:color="auto"/>
        <w:right w:val="none" w:sz="0" w:space="0" w:color="auto"/>
      </w:divBdr>
    </w:div>
    <w:div w:id="1927491986">
      <w:bodyDiv w:val="1"/>
      <w:marLeft w:val="0"/>
      <w:marRight w:val="0"/>
      <w:marTop w:val="0"/>
      <w:marBottom w:val="0"/>
      <w:divBdr>
        <w:top w:val="none" w:sz="0" w:space="0" w:color="auto"/>
        <w:left w:val="none" w:sz="0" w:space="0" w:color="auto"/>
        <w:bottom w:val="none" w:sz="0" w:space="0" w:color="auto"/>
        <w:right w:val="none" w:sz="0" w:space="0" w:color="auto"/>
      </w:divBdr>
    </w:div>
    <w:div w:id="19506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C9D51-9153-4FDC-97CF-646E0D29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1503</Words>
  <Characters>9019</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Załącznik 8 Kryteria zatwierdzone przez KM</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8 Kryteria zatwierdzone przez KM</dc:title>
  <dc:subject>Akademia Menadżera MMŚP - kompetencje w zakresie cyfryzacji</dc:subject>
  <dc:creator>Sybicki Łukasz</dc:creator>
  <cp:keywords>PL, PARP</cp:keywords>
  <cp:lastModifiedBy>Skowera Paweł</cp:lastModifiedBy>
  <cp:revision>19</cp:revision>
  <cp:lastPrinted>2019-12-03T06:46:00Z</cp:lastPrinted>
  <dcterms:created xsi:type="dcterms:W3CDTF">2021-07-23T08:29:00Z</dcterms:created>
  <dcterms:modified xsi:type="dcterms:W3CDTF">2023-05-23T07:13:00Z</dcterms:modified>
</cp:coreProperties>
</file>